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User:</w:t>
      </w:r>
    </w:p>
    <w:p>
      <w:pPr>
        <w:pStyle w:val="Compact"/>
        <w:numPr>
          <w:ilvl w:val="0"/>
          <w:numId w:val="1001"/>
        </w:numPr>
      </w:pPr>
      <w:r>
        <w:t xml:space="preserve">Beyond Macronutrients_ An Evidence-Based Guide to Diet, Microbiome, and Personalized Nutrition.pdf</w:t>
      </w:r>
    </w:p>
    <w:p>
      <w:pPr>
        <w:pStyle w:val="FirstParagraph"/>
      </w:pPr>
      <w:r>
        <w:t xml:space="preserve">Can you translate to Arabic the whole file</w:t>
      </w:r>
    </w:p>
    <w:p>
      <w:r>
        <w:pict>
          <v:rect style="width:0;height:1.5pt" o:hralign="center" o:hrstd="t" o:hr="t"/>
        </w:pict>
      </w:r>
    </w:p>
    <w:p>
      <w:pPr>
        <w:pStyle w:val="FirstParagraph"/>
      </w:pPr>
      <w:r>
        <w:rPr>
          <w:b/>
          <w:bCs/>
        </w:rPr>
        <w:t xml:space="preserve">Kimi:</w:t>
      </w:r>
    </w:p>
    <w:bookmarkStart w:id="26" w:name="Xdad5c279ec9f2e298f8cf9528ed31105713b835"/>
    <w:p>
      <w:pPr>
        <w:pStyle w:val="1"/>
      </w:pPr>
      <w:r>
        <w:t xml:space="preserve">ما وراء الكربوهيدرات الكبرى: دليل قائم على الأدلة للنظام الغذائي، الميكروبيوم، والتغذية الشخصية</w:t>
      </w:r>
    </w:p>
    <w:bookmarkStart w:id="20" w:name="Xc315e06c3e5c4c11597e818b864e552e65319f0"/>
    <w:p>
      <w:pPr>
        <w:pStyle w:val="2"/>
      </w:pPr>
      <w:r>
        <w:t xml:space="preserve">الدواجن والبيض: من ممارسات المزرعة إلى التأثيرات الفسيولوجية</w:t>
      </w:r>
    </w:p>
    <w:p>
      <w:pPr>
        <w:pStyle w:val="FirstParagraph"/>
      </w:pPr>
      <w:r>
        <w:t xml:space="preserve">يُمثّل استهلاك الدواجن والبيض ركيزة أساسية في الأنظمة الغذائية حول العالم، غير أن طرق إنتاجها وتأثيراتها الفسيولوجية على صحة الإنسان مواضيع بالغة التعقيد وتحظى باهتمام الجمهور. يقدّم هذا القسم تحليلاً معمّقاً للعوامل المؤثرة في جودة وسلامة الدجاج والبيض، من بيئة المزرعة إلى المنتج النهائي في الطبق. ويتناول استخدام إضافات الأعلاف والاختيار الجيني في إنتاج الدواجن، ويحلل الأساس الجزيئي لحساسية البيض وتعديلها بالمعالجة الحرارية، ويقيّم تأثير تقنيات الطبخ المختلفة على توافر العناصر الغذائية. يدمج التحليل المعلومات التنظيمية، والمسارات البيولوجية الآلية، والأدلة السريرية لتقديم فهم متمايز لهذه المجموعة الغذائية الحاسمة. الموضوع المركزي الناشئ من البيانات المتاحة هو أن طريقة الإنتاج والتحضير تُدخل تباينات عميقة في تركيبة المنتج النهائي، وملفه الأمني، والاستجابة الفسيولوجية لدى المستهلكين. إن فهم هذه المتغيرات ضروري لاتخاذ خيارات غذائية واعية وإدارة الحالات الصحية مثل حساسية الأغذية والأيض.</w:t>
      </w:r>
    </w:p>
    <w:p>
      <w:pPr>
        <w:pStyle w:val="a0"/>
      </w:pPr>
      <w:r>
        <w:t xml:space="preserve">إن القلق الأساسي في تربية الدواجن الحديثة هو تسريع معدلات النمو لتلبية الطلب العالمي. بينما لا تفصّل المصادر المقدّمة التعديل الجيني للدجاج، فإنها تؤكد أن الصناعة تعتمد بشكل كبير على التربية الانتقائية لتعزيز صفات مثل النمو السريع والحجم المتزايد. وتُعدّ مسألة أكثر إثارة للجدل هي استخدام الإضافات الكيميائية في الأعلاف. في مناطق مثل الولايات المتحدة، يُعدّ استخدام الهرمونات لتعزيز النمو في الدواجن غير قانوني. ومع ذلك، يشير استفسار المستخدم حول</w:t>
      </w:r>
      <w:r>
        <w:t xml:space="preserve"> </w:t>
      </w:r>
      <w:r>
        <w:t xml:space="preserve">“</w:t>
      </w:r>
      <w:r>
        <w:t xml:space="preserve">استخدام الهرمونات لجعل الدجاج ينمو بشكل أسرع</w:t>
      </w:r>
      <w:r>
        <w:t xml:space="preserve">”</w:t>
      </w:r>
      <w:r>
        <w:t xml:space="preserve"> </w:t>
      </w:r>
      <w:r>
        <w:t xml:space="preserve">إلى ممارسة استخدام إضافات الأعلاف غير الهرمونية. وتأتي قطعة حاسمة من الأدلة من قرار الصين بحظر إضافات الأعلاف الفينيلارسونيك، والذي كان من المتوقع أن يمنع حوالي 1160 حالة سرطان سنوياً من استهلاك لحم الدجاج وحده. وهذا يسلط الضوء على خطر صحي عام كبير مرتبط بهذه المركبات، والتي لا تزال مستخدمة في أماكن أخرى. إن وجود أطر تنظيمية، مثل برنامج الأغذية البشرية التابع لإدارة الغذاء والدواء (FDA)، يشير إلى الجهود المستمرة لإدارة سلامة هذه المكونات، بما في ذلك تنظيم المكونات الغذائية الجديدة (NDIs). لذلك، بالنسبة للمستهلكين الراغبين في تجنب بقايا المواد الكيميائية المحتملة، قد يوفر اختيار الدواجن المعتمدة بمعايير مثل</w:t>
      </w:r>
      <w:r>
        <w:t xml:space="preserve"> </w:t>
      </w:r>
      <w:r>
        <w:t xml:space="preserve">“</w:t>
      </w:r>
      <w:r>
        <w:t xml:space="preserve">بدون مضادات حيوية على الإطلاق</w:t>
      </w:r>
      <w:r>
        <w:t xml:space="preserve">”</w:t>
      </w:r>
      <w:r>
        <w:t xml:space="preserve"> </w:t>
      </w:r>
      <w:r>
        <w:t xml:space="preserve">(NAE) أو العضوية درجة من التخفيف، على الرغم من أن شرعية استخدام الهرمونات تظل مفاضلة رئيسية في ممارسات إنتاج الدواجن.</w:t>
      </w:r>
    </w:p>
    <w:p>
      <w:pPr>
        <w:pStyle w:val="a0"/>
      </w:pPr>
      <w:r>
        <w:t xml:space="preserve">يُمثّل البيض، المصدر المركز للتغذية، طبقة أخرى من التعقيد، خاصة فيما يتعلق بإمكانية التسبب في الحساسية. تُعدّ حساسية البيض من أكثر حساسيات الأغذية شيوعاً لدى الأطفال، وتقودها بروتينان رئيسيان في بياض البيض: الأوفالبومين (Gal d 1) والأوفوميوكويد (Gal d 2). إن الاستقرار التفاضلي لهذين البروتينين للحرارة هو المفتاح لفهم سبب قدرة بعض الأفراد على تحمّل المخبوزات التي تحتوي على البيض بينما تتفاعل لديهم استجابات شديدة للبيض النيء أو المطبوخ قليلاً. يتميز الأوفالبومين بأنه حساس للحرارة (heat-labile)، مما يعني أن بنيته تت disruption بسهولة بالطبخ. في المقابل، يتميز الأوفوميوكويد باستقراره الحراري العالي، حيث يحتفظ بسلامته البنيوية حتى في درجات حرارة مرتفعة. وهذا الاختلاف الجوهري يفسر ظاهرة تحمل البيض المخبوز. إن الآلية وراء تقليل القدرة على التسبب في الحساسية عند التسخين تتضمن تغيّر البروتين (denaturation). عند التعرض للحرارة، تتفكك البنية ثلاثية الأبعاد المعقدة للبروتينات المسببة للحساسية أو تتغير شكلها. وهذا التغيّر في التشكل يقلل من قدرة أجسام Immunoglobulin E (IgE) —المُنتجة من قبل جهاز المناعة للفرد المصاب بالحساسية— على التعرف على المادة المسببة للحساسية والارتباط بها. وبالتالي، يتم تقليل تنشيط الخلايا البدينة والخلايا القاعدية اللاحق، والذي يحفّر إطلاق الهيستامين وغيرها من الوسطاء الالتهابية المسببة لأعراض الحساسية، بشكل كبير. وأكدت الدراسات أن مسببات حساسية البيض المعالجة بالحرارة تظهر قدرة ارتباط IgE أقل وتحفّز تنشيطاً أقل للخلايا القاعدية مقارنة بأشكالها الأصلية غير المسخنة.</w:t>
      </w:r>
    </w:p>
    <w:p>
      <w:pPr>
        <w:pStyle w:val="a0"/>
      </w:pPr>
      <w:r>
        <w:t xml:space="preserve">لقد تم تحويل هذا المبدأ التعديل الحراري إلى أداة تشخيصية قوية: اختبار تنشيط الخلايا القاعدية (BAT). لقد برز BAT كطريقة متفوقة لتشخيص حساسية الأغذية، حيث أظهر خصوصية أعلى من اختبارات وخز الجلد التقليدية (SPT) وقياسات IgE المحددة (sIgE). وتكمن فائدته في قدرته على تقييم وظيفي لشدة حد التفاعل الحساسي. وباستخدام تحضيرات تدريجية أقل تسخيناً من البيض في BAT، يمكن للأطباء التمييز بين الأطفال المصابين بحساسية البيض العادية (EA)، الذين يتفاعلون مع جميع أشكال البيض، وأولئك الذين يتحملون البيض المخبوز (ET)، الذين يتفاعلون فقط مع البيض المسخن بشكل طفيف. ويمكن لهذا الاختبار التنبؤ بدقة عالية بما إذا كان الطفل سيتحمل تحدياً بالبيض المخبوز، وبالتالي توجيه تحديات الطعام الفموية (OFCs) الآمنة والفعالة، والتي تُعتبر المعيار الذهبي للتشخيص. وتظهر الأبحاث أن استجابات الأجسام المضادة والخلايا القاعدية الخاصة بالبيض، ولكن ليس استجابات الخلايا T، أعلى بكثير لدى الأطفال الذين يظهرون تفاعلاً مقابل التحمل للبيض المخبوز، مما يؤكد الدور المركزي لتنشيط الخلايا القاعدية الوسيط بواسطة IgE في التنبؤ بالنتائج السريرية. ومع ذلك، فإن العلاقة ليست مباشرة تماماً. لاحظت إحدى الدراسات في نموذج الفأر أن الأوفالبومين المغلّز بشكل كثيف —وهو نوع من منتجات التفاعل المتقدمة للغليكوزيشن (AGE) المتكونة في ظروف حرارة عالية— أدى إلى زيادة مستويات IgE وانخفاض أقوى في درجة حرارة الجسم مقارنة بالأوفالبومين غير المغلّز. وهذا يشير إلى أن مركبات محددة تتشكل أثناء الطبخ، بما يتجاوز تغيّر البروتين البسيط، قد تلعب دوراً معقداً ومحتملاً في زيادة الحساسية، مما يسلط الضوء على مجال يحتاج إلى مزيد من البحث لفهم كيمياء حساسية البيض بشكل كامل.</w:t>
      </w:r>
    </w:p>
    <w:p>
      <w:pPr>
        <w:pStyle w:val="a0"/>
      </w:pPr>
      <w:r>
        <w:t xml:space="preserve">بجانب الحساسية، يؤثر طريقة الطبخ بشكل مباشر على القيمة الغذائية للبيض. لا توجد طريقة</w:t>
      </w:r>
      <w:r>
        <w:t xml:space="preserve"> </w:t>
      </w:r>
      <w:r>
        <w:t xml:space="preserve">“</w:t>
      </w:r>
      <w:r>
        <w:t xml:space="preserve">أفضل</w:t>
      </w:r>
      <w:r>
        <w:t xml:space="preserve">”</w:t>
      </w:r>
      <w:r>
        <w:t xml:space="preserve"> </w:t>
      </w:r>
      <w:r>
        <w:t xml:space="preserve">واحدة لطبخ البيض؛ تعتمد الطريقة المثلى على النتيجة المرجوة، مع موازنة الحفاظ على العناصر الغذائية والسلامة وقابلية الهضم. تُعدّ الفيتامينات القابلة للذوبان في الماء، وخاصة الثيامين (فيتامين B1)، حساسة بشكل ملحوظ للحرارة ومدة الطبخ. وجدت دراسة قياس فقدان الثيامين أن البيض المطبوخ بشكل صلب يفقد 20% من ثيامينه، والبيض المقلي يفقد 30%، بينما البيض المخفوق يفقد 5% فقط. وهذا يشير إلى أن طرق الطبخ الأكثر لطفاً مثل التخفيف الخفيف أو السلق تُفضل لزيادة الاحتفاظ بهذا الفيتامين B الحاسم. وعلى العكس، بالنسبة للعناصر الغذائية القابلة للذوبان في الدهون، يبدو أن تأثير الطبخ أقل وضوحاً. وأظهر تحليل لتوافر الكاروتينات أن توافر الليوتين من البيض المسلوق أو المقلي أو المخفوق كان مماثلاً. وهذا يشير إلى أنه بالنسبة للعناصر الدقيقة المدمجة داخل المصفوفة الدهنية في الصفار، فإن عملية الاستخلاص أثناء الهضم لا تتأثر بشكل كبير بتطبيق حرارة معتدلة. كما تتأثر قابلية هضم البروتينات والدهون. وجدت دراسة في المختبر تقيّم تأثير عمليات الطبخ المختلفة (مسلوق بشكل صلب، مسلوق، أومليت) أن هذه الطرق تغير من قابلية هضم العناصر الغذائية والاحتفاظ بفيتامينات معينة. وفي النهاية، يتضمن اختيار طريقة الطبخ مقايضة. للحفاظ على أقصى محتوى من فيتامينات قابلة للذوبان في الماء، تكون الطرق اللطيفة متفوقة. وللتخفيف من الحساسية لدى فرد مصاب، يُنصح بالخبز التام. للاستهلاك العام، تبدو طرق مثل السلق أو التخفيف الخفيف توفر توازناً جيداً بين الحفاظ على العناصر الغذائية والمذاق. يلخص الجدول التالي تأثير طرق الطبخ المختلفة على عناصر البيض الغذائية.</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طريقة الطبخ</w:t>
            </w:r>
          </w:p>
        </w:tc>
        <w:tc>
          <w:tcPr/>
          <w:p>
            <w:pPr>
              <w:pStyle w:val="Compact"/>
              <w:jc w:val="left"/>
            </w:pPr>
            <w:r>
              <w:t xml:space="preserve">فقدان الثيامين (B1)</w:t>
            </w:r>
          </w:p>
        </w:tc>
        <w:tc>
          <w:tcPr/>
          <w:p>
            <w:pPr>
              <w:pStyle w:val="Compact"/>
              <w:jc w:val="left"/>
            </w:pPr>
            <w:r>
              <w:t xml:space="preserve">ملاحظة الاحتفاظ بالفيتامين</w:t>
            </w:r>
          </w:p>
        </w:tc>
        <w:tc>
          <w:tcPr/>
          <w:p>
            <w:pPr>
              <w:pStyle w:val="Compact"/>
              <w:jc w:val="left"/>
            </w:pPr>
            <w:r>
              <w:t xml:space="preserve">ملاحظة قابلية هضم البروتين/الدهن</w:t>
            </w:r>
          </w:p>
        </w:tc>
      </w:tr>
      <w:tr>
        <w:tc>
          <w:tcPr/>
          <w:p>
            <w:pPr>
              <w:pStyle w:val="Compact"/>
              <w:jc w:val="left"/>
            </w:pPr>
            <w:r>
              <w:t xml:space="preserve">مخفوق</w:t>
            </w:r>
          </w:p>
        </w:tc>
        <w:tc>
          <w:tcPr/>
          <w:p>
            <w:pPr>
              <w:pStyle w:val="Compact"/>
              <w:jc w:val="left"/>
            </w:pPr>
            <w:r>
              <w:t xml:space="preserve">5%</w:t>
            </w:r>
          </w:p>
        </w:tc>
        <w:tc>
          <w:tcPr/>
          <w:p>
            <w:pPr>
              <w:pStyle w:val="Compact"/>
              <w:jc w:val="left"/>
            </w:pPr>
            <w:r>
              <w:t xml:space="preserve">احتفاظ جيد بالفيتامينات القابلة للذوبان في الماء.</w:t>
            </w:r>
          </w:p>
        </w:tc>
        <w:tc>
          <w:tcPr/>
          <w:p>
            <w:pPr>
              <w:pStyle w:val="Compact"/>
              <w:jc w:val="left"/>
            </w:pPr>
            <w:r>
              <w:t xml:space="preserve">بروتينات متغيرة بشكل طفيف.</w:t>
            </w:r>
          </w:p>
        </w:tc>
      </w:tr>
      <w:tr>
        <w:tc>
          <w:tcPr/>
          <w:p>
            <w:pPr>
              <w:pStyle w:val="Compact"/>
              <w:jc w:val="left"/>
            </w:pPr>
            <w:r>
              <w:t xml:space="preserve">مسلوق بشكل صلب</w:t>
            </w:r>
          </w:p>
        </w:tc>
        <w:tc>
          <w:tcPr/>
          <w:p>
            <w:pPr>
              <w:pStyle w:val="Compact"/>
              <w:jc w:val="left"/>
            </w:pPr>
            <w:r>
              <w:t xml:space="preserve">20%</w:t>
            </w:r>
          </w:p>
        </w:tc>
        <w:tc>
          <w:tcPr/>
          <w:p>
            <w:pPr>
              <w:pStyle w:val="Compact"/>
              <w:jc w:val="left"/>
            </w:pPr>
            <w:r>
              <w:t xml:space="preserve">فقدان معتدل للفيتامينات القابلة للذوبان في الماء.</w:t>
            </w:r>
          </w:p>
        </w:tc>
        <w:tc>
          <w:tcPr/>
          <w:p>
            <w:pPr>
              <w:pStyle w:val="Compact"/>
              <w:jc w:val="left"/>
            </w:pPr>
            <w:r>
              <w:t xml:space="preserve">البروتينات متغيرة بشكل واسع.</w:t>
            </w:r>
          </w:p>
        </w:tc>
      </w:tr>
      <w:tr>
        <w:tc>
          <w:tcPr/>
          <w:p>
            <w:pPr>
              <w:pStyle w:val="Compact"/>
              <w:jc w:val="left"/>
            </w:pPr>
            <w:r>
              <w:t xml:space="preserve">مقلي</w:t>
            </w:r>
          </w:p>
        </w:tc>
        <w:tc>
          <w:tcPr/>
          <w:p>
            <w:pPr>
              <w:pStyle w:val="Compact"/>
              <w:jc w:val="left"/>
            </w:pPr>
            <w:r>
              <w:t xml:space="preserve">30%</w:t>
            </w:r>
          </w:p>
        </w:tc>
        <w:tc>
          <w:tcPr/>
          <w:p>
            <w:pPr>
              <w:pStyle w:val="Compact"/>
              <w:jc w:val="left"/>
            </w:pPr>
            <w:r>
              <w:t xml:space="preserve">أعلى فقدان للفيتامينات القابلة للذوبان في الماء بين الطرق الشائعة.</w:t>
            </w:r>
          </w:p>
        </w:tc>
        <w:tc>
          <w:tcPr/>
          <w:p>
            <w:pPr>
              <w:pStyle w:val="Compact"/>
              <w:jc w:val="left"/>
            </w:pPr>
            <w:r>
              <w:t xml:space="preserve">البروتينات والدهون معرضة لحرارة عالية.</w:t>
            </w:r>
          </w:p>
        </w:tc>
      </w:tr>
      <w:tr>
        <w:tc>
          <w:tcPr/>
          <w:p>
            <w:pPr>
              <w:pStyle w:val="Compact"/>
              <w:jc w:val="left"/>
            </w:pPr>
            <w:r>
              <w:t xml:space="preserve">مسلوق (سلق)</w:t>
            </w:r>
          </w:p>
        </w:tc>
        <w:tc>
          <w:tcPr/>
          <w:p>
            <w:pPr>
              <w:pStyle w:val="Compact"/>
              <w:jc w:val="left"/>
            </w:pPr>
            <w:r>
              <w:t xml:space="preserve">المعلومات غير متوفرة في المصادر المقدمة</w:t>
            </w:r>
          </w:p>
        </w:tc>
        <w:tc>
          <w:tcPr/>
          <w:p>
            <w:pPr>
              <w:pStyle w:val="Compact"/>
              <w:jc w:val="left"/>
            </w:pPr>
            <w:r>
              <w:t xml:space="preserve">احتمال فقدان معتدل، أقل من القلي</w:t>
            </w:r>
          </w:p>
        </w:tc>
        <w:tc>
          <w:tcPr/>
          <w:p>
            <w:pPr>
              <w:pStyle w:val="Compact"/>
              <w:jc w:val="left"/>
            </w:pPr>
            <w:r>
              <w:t xml:space="preserve">بروتينات متغيرة بلطف.</w:t>
            </w:r>
          </w:p>
        </w:tc>
      </w:tr>
    </w:tbl>
    <w:p>
      <w:pPr>
        <w:pStyle w:val="a0"/>
      </w:pPr>
      <w:r>
        <w:t xml:space="preserve">باختصار، إن رحلة الدواجن والبيض من المزرعة إلى الشوكة محمّلة بمتغيرات تؤثر بعمق في تأثيرها على صحة الإنسان. إن استخدام إضافات الأعلاف المثيرة للجدل مثل الأحماض الفينيلارسونيك يشكل خطراً على الصحة العامة يتم معالجته الآن فقط من خلال الحظر الوطني. بالنسبة للبيض، إن التداخل بين البروتينات المحددة، وحساسيتها للحرارة، وجهاز المناعة للمضيف يحدد الاستجابة الحساسية. إن تطوير الاختبارات الوظيفية مثل BAT يسمح بنهج شخصي لإدارة حساسية البيض، متجاوزاً الامتناع البسيط إلى التعرض الموجه. وأخيراً، فإن فعل الطبخ نفسه ليس مجرد مسألة تفضيل بل هو تدخل بيوكيميائي يغير من ملامح العناصر الغذائية، مما يتطلب نهجاً مدركاً للسياق لتعظيم الفوائد وتقليل المخاطر. سواء كان الهدف هو الحفاظ على الفيتامينات، أو تقليل الحساسية، أو مجرد الاستمتاع بوجبة شهية، فإن فهم هذه المبادئ الأساسية أمر بالغ الأهمية.</w:t>
      </w:r>
    </w:p>
    <w:bookmarkEnd w:id="20"/>
    <w:bookmarkStart w:id="21" w:name="X4f62d0017cdeff284c702a9f98d243daba0aa2b"/>
    <w:p>
      <w:pPr>
        <w:pStyle w:val="2"/>
      </w:pPr>
      <w:r>
        <w:t xml:space="preserve">البقوليات والخضروات الورقية: تعديل الميكروبيوتا والاعتبارات الطبية</w:t>
      </w:r>
    </w:p>
    <w:p>
      <w:pPr>
        <w:pStyle w:val="FirstParagraph"/>
      </w:pPr>
      <w:r>
        <w:t xml:space="preserve">تُشكّل البقوليات والخضروات الورقية أساس العديد من الأنماط الغذائية الصحية، وتُقدّر لتركيزها العالي من الألياف، والفيتامينات، والمعادن، والمواد الكيميائية النباتية. ومع ذلك، فإن استهلاكها ليس خالياً من التعقيد، حيث يمكن أن تشكّل مركبات معينة تحديات لمجموعات سكانية محددة. يقدّم هذا القسم تحليلاً شاملاً لهذه المجموعات الغذائية، مع التركيز على طبيعتها المزدوجة كعوامل علاجية ومهيجات محتملة. ويستكشف الآليات التي من خلالها تُعدّل ألياف البقوليات الميكروبيوتا المعوية لمنح فوائد صحية، بما في ذلك تحسين التحكم السكري وتقليل الالتهاب. كما يتعمق في التحذيرات الطبية المرتبطة بالخضروات الورقية، ويفحص أدوات الغويتروجينات في وظيفة الغدة الدرقية، والأكسالات في تكوين حصى الكلى، وفيتامين K في العلاج المضاد للتخثر. ومن خلال دمج التفسيرات الآلية مع بيانات التجارب السريرية والأدلة على مستوى السكان، يقدّم هذا التحليل دليلاً مفصلاً للاستفادة من فوائد هذه الأغذية مع تجنب المخاطر المحتملة. الاستنتاج الشامل هو أن هذه الأغذية مُعدّلات قوية للفسيولوجيا البشرية، لكن تأثيراتها تعتمد بشكل كبير على الحالة الصحية الفريدة للفرد، ووراثته، والميكروبيوم الميكروبي.</w:t>
      </w:r>
    </w:p>
    <w:p>
      <w:pPr>
        <w:pStyle w:val="a0"/>
      </w:pPr>
      <w:r>
        <w:t xml:space="preserve">إن الفائدة الصحية الأساسية للبقوليات —مثل الفاصوليا، والعدس، والحمص— متجذرة في تركيبتها الكربوهيدراتية الفريدة، مما يجعلها غنية بشكل استثنائي بالألياف البريبايوتيك. تُعدّ هذه الألياف، بما في ذلك النشا المقاوم والأوليغوساكاريدات، غير قابلة للهضم بواسطة الإنزيمات البشرية في الأمعاء الدقيقة وبالتالي تصل إلى القولون سليمة، حيث تخدم كمصدر غذائي أساسي للبكتيريا المعوية المفيدة. إن تخمير هذه الألياف بواسطة الميكروبيوتا المعوية ينتج فئة من الأيضات تُعرف بالأحماض الدهنية قصيرة السلسلة (SCFAs)، وأساساً الأسيتات، والبروبيونات، والبيوتيرات. وهذه الجزيئات بعيدة كل البعد عن الفضلات الأيضية؛ إنها جزيئات إشارة حرجة تتوسط العديد من الفوائد الصحية المرتبطة باستهلاك البقوليات. يعمل البيوتيرات، بشكل خاص، كمصدر الطاقة المفضل لخلايا القولون (الخلايا المبطنة للقولون)، مما يساعد على الحفاظ على سلامة وصحة الحاجز المعوي. وتمتص البروبيونات والأسيتات إلى مجرى الدم، حيث تمارس تأثيرات جهازية، بما في ذلك تحفيز هرمونات الأمعاء مثل GLP-1 وPYY، والتي تعزز الشبع وتحسن الأيض الجلوكوزي. تدعم الأدلة السريرية بقوة هذا الرابط الآلي. وأظهرت تجربة سريرية عشوائية (RCT) أن النظام الغذائي الغني بالبقوليات يحسن الصحة الأيضية لدى الأفراد المصابين بما قبل السكري، وكان هذا التأثير مُتوسطاً من خلال التغييرات في الميكروبيوم المعوي وزيادة الأصناف البكتيرية المنتجة للSCFAs. وبالمثل، وجدت دراسة على مرضى السكري من النوع 2 أن تناول البقوليات كان مرتبطاً بميكروبيوم معوي أكثر صحة وتحكماً سكرياً أفضل. ولتعظيم هذه الفوائد، من الأهمية بمكان استهلاك مجموعة متنوعة من الألياف. تكون الألياف القابلة للذوبان، الوفيرة في البقوليات، قابلة للتخمير بشكل عالٍ وتدفع إنتاج SCFAs، بينما تضيف الألياف غير القابلة للذوبان حجماً للبراز. إن استهلاك مجموعة واسعة من الأغذية النباتية يضمن طيفاً واسعاً من الركائز، مما يعزز ميكروبيوتا معوية متنوعة ومرنة.</w:t>
      </w:r>
    </w:p>
    <w:p>
      <w:pPr>
        <w:pStyle w:val="a0"/>
      </w:pPr>
      <w:r>
        <w:t xml:space="preserve">على الرغم من فوائدها العديدة، تحتوي البقوليات على مركبات يمكن أن تسبب آثاراً سلبية لدى الأفراد المعرضين. ويأتي في مقدمتها</w:t>
      </w:r>
      <w:r>
        <w:t xml:space="preserve"> </w:t>
      </w:r>
      <w:r>
        <w:t xml:space="preserve">“</w:t>
      </w:r>
      <w:r>
        <w:t xml:space="preserve">المواد المضادة للتغذية</w:t>
      </w:r>
      <w:r>
        <w:t xml:space="preserve">”</w:t>
      </w:r>
      <w:r>
        <w:t xml:space="preserve"> </w:t>
      </w:r>
      <w:r>
        <w:t xml:space="preserve">مثل الليكتينات، والفايتات، وأوليغوساكاريدات عائلة الرافينوز (rFOGs). يمكن لليكتينات والفايتات أن تتداخل مع امتصاص المعادن، بينما تُهضم rFOGs بشكل سيء في الأمعاء الدقيقة وتُخمر بسرعة من قبل البكتيريا القولونية، مما يؤدي إلى الغازات والانتفاخ وانزعاج البطن لدى بعض الناس. يمكن للنقع، والإنبات، والطبخ الجيد أن يقلل بشكل كبير من مستويات هذه المركبات، مما يخفف من الضيق المعدي المعوي. وعلاوة على ذلك، بالنسبة للأفراد المصابين بأمراض المناعة الذاتية، غالباً ما يتم استبعاد البقوليات خلال المرحلة الأولية من الأنظمة الغذائية المتخصصة مثل نظام البروتوكول المناعي الذاتي (AIP). ويُقصد بهذا الاستبعاد تحديد ما إذا كانت البقوليات تُحفّز استجابة مناعية.</w:t>
      </w:r>
    </w:p>
    <w:p>
      <w:pPr>
        <w:pStyle w:val="a0"/>
      </w:pPr>
      <w:r>
        <w:t xml:space="preserve">تُعدّ الارتباط التفاعلي (cross-reactivity) اعتباراً آخر مهماً. قد يتفاعل الأفراد المصابون بحساسية الفول السوداني أيضاً مع بقوليات أخرى مثل الصويا أو الحمص بسبب البنى البروتينية المشتركة. وبالمثل، يُلاحظ حساسية بذور السمسم لارتباطها التفاعلي مع الفول السوداني والمكسرات الشجرية. لذلك، بينما تكون مفيدة بشكل عام، فإن البقوليات ليست مناسبة بشكل عالمي وتتطلب إدارة حذرة في سياقات محددة.</w:t>
      </w:r>
    </w:p>
    <w:p>
      <w:pPr>
        <w:pStyle w:val="a0"/>
      </w:pPr>
      <w:r>
        <w:t xml:space="preserve">تقدّم الخضروات الورقية، وخاصة الصليبية منها مثل البروكلي، والملفوف، والكرنب، صورة مماثلة من الفوائد القوية مقترنة بتحذيرات طبية محددة. يدور قلقها الأساسي حول مركبات الغويتروجين. تحتوي الخضروات الصليبية على الجلوكوزينولات، والتي تتفكك إلى إيزوثيوسيانات وثيوسيانات، وتُعرف مجتمعة بالغويتروجينات. يمكن لهذه المركبات أن تتداخل مع امتصاص اليود من قبل الغدة الدرقية، مما يعيق بشكل محتمل تصنيع الهرمونات الدرقية ويزيد من خطر تكوين الزواحير. ومع ذلك، فإن الأهمية السريرية لهذا التأثير مشروطة للغاية. تخلص مراجعات موثوقة متعددة إلى أن الاستهلاك الغذائي الطبيعي للخضروات الصليبية لا يبدو أنه يؤثر على وظيفة الغدة الدرقية لدى الأفراد الأصحاء ذوي تناول كافٍ من اليود. ويصبح الخطر أكثر وضوحاً في السكان الذين يعانون من نقص اليود. وجدت إحدى الدراسات أن الاستهلاك العالي للخضروات الصليبية كان مرتبطاً بزيادة خطر سرطان الغدة الدرقية بين النساء ذوات تناول منخفض من اليود. ولحسن الحظ، يمكن إدارة هذا الخطر. أظهر الطبخ، وخاصة الطهو على البخار، أنه يقلل من محتوى الغويترين في الخضروات مثل الملفوف، مما يوفر استراتيجية عملية لأولئك القلقين بشأن صحة الغدة الدرقية. يبدو أن التأثير الكلي يعتمد على كمية الإيزوثيوسيانات المُطلقة عند المastication، والتي تتأثر بكيفية تحضير الخضروات.</w:t>
      </w:r>
    </w:p>
    <w:p>
      <w:pPr>
        <w:pStyle w:val="a0"/>
      </w:pPr>
      <w:r>
        <w:t xml:space="preserve">يُعدّ التحذير الطبي الآخر المرتبط ببعض الخضروات الورقية يتعلق بمحتواها من الأكسالات. يُعدّ السبانخ، والسلق السويسري، وخضار الشمندر من الأغذية الغنية بالأكسالات بشكل خاص. يتم امتصاص الأكسالات في الأمعاء، وعندما يكون تركيزها في البول مرتفعاً، يمكن أن ترتبط بالكالسيوم لتشكيل بلورات أكسالات الكالسيوم، وهي النوع الأكثر شيوعاً من حصى الكلى. يرتبط الخطر بشكل متناقض بالكالسيوم الغذائي. يربط الكالسيوم الغذائي العالي الأكسالات في الأمعاء، مكوناً معقداً غير قابل للذوبان يتم إفرازه بعد ذلك، وبالتالي يمنع امتصاص الأكسالات الحرة. لذلك، يمكن لنظام غذائي منخفض في الكالسيوم أن يزيد من خطر حصى الكلى من خلال السماح بامتصاص المزيد من الأكسالات. بالنسبة للأفراد ذوي تاريخ من حصى الكلى أكسالات الكالسيوم، غالباً ما يوصي مقدمو الرعاية الصحية بالاعتدال في تناول الأغذية الغنية بالأكسالات وضمان كفاية الكالسيوم الغذائي. كما أن الترطيب السليم هو استراتيجية رئيسية أيضاً، حيث أنه يعزز إفراز الأكسالات البولية. يكون امتصاص الكالسيوم من السبانخ، على سبيل المثال، منخفضاً جداً (حوالي 5%) بالضبط لأن كالسيومه مرتبط بالأكسالات، مما يجعله مصدراً ضعيفاً للكالسيوم المتاح بيولوجياً على الرغم من محتواه المعدني العالي.</w:t>
      </w:r>
    </w:p>
    <w:p>
      <w:pPr>
        <w:pStyle w:val="a0"/>
      </w:pPr>
      <w:r>
        <w:t xml:space="preserve">أخيراً، تكون الخضروات الورقية غنية بشكل استثنائي بفيتامين K، وهو عنصر غذائي أساسي لتخثر الدم. بالنسبة للمرضى الذين يتناولون دواء مضاد التخثر الوارفارين (وهو مضاد لفيتامين K)، يكون تناول فيتامين K ثابتاً أمراً حرجاً للحفاظ على السيطرة العلاجية المستقرة، المقاسة بالنسبة الدولية الطبيعية (INR). يعمل الوارفارين من خلال تثبيط إعادة تدوير فيتامين K، لذا يمكن أن تتناقض التقلبات في تناول فيتامين K مع تأثيره. يمكن أن يؤدي الزيادة المفاجئة في استهلاك الخضروات الورقية إلى خفض INR، مما يزيد من خطر التخثر، بينما يمكن أن يؤدي الانخفاض المفاجئ إلى رفع INR، مما يزيد من خطر النزيف. الاستراتيجية الإدارية المُثبتة للمرضى على الوارفارين ليست الامتنااد الصارم عن الخضروات، بل الاتساق. يُنصح المرضى بالحفاظ على تناول يومي نسبياً مستقر من الأغذية الغنية بفيتامين K للسماح بالجرعة المناسبة والمراقبة لدوائهم. وهذا يسلط الضوء على مثال كلاسيكي لتفاعل دواء-غذاء حيث أن الاعتدال والاتساق هما المفتاح للإدارة الآمنة. يلخص الجدول أدناه الاعتبارات الرئيسية للبقوليات والخضروات الورقية.</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مجموعة الغذاء</w:t>
            </w:r>
          </w:p>
        </w:tc>
        <w:tc>
          <w:tcPr/>
          <w:p>
            <w:pPr>
              <w:pStyle w:val="Compact"/>
              <w:jc w:val="left"/>
            </w:pPr>
            <w:r>
              <w:t xml:space="preserve">الفائدة/الآلية الأساسية</w:t>
            </w:r>
          </w:p>
        </w:tc>
        <w:tc>
          <w:tcPr/>
          <w:p>
            <w:pPr>
              <w:pStyle w:val="Compact"/>
              <w:jc w:val="left"/>
            </w:pPr>
            <w:r>
              <w:t xml:space="preserve">الموانع/المخاوف المحتملة</w:t>
            </w:r>
          </w:p>
        </w:tc>
        <w:tc>
          <w:tcPr/>
          <w:p>
            <w:pPr>
              <w:pStyle w:val="Compact"/>
              <w:jc w:val="left"/>
            </w:pPr>
            <w:r>
              <w:t xml:space="preserve">استراتيجية الإدارة/التحذيرات</w:t>
            </w:r>
          </w:p>
        </w:tc>
      </w:tr>
      <w:tr>
        <w:tc>
          <w:tcPr/>
          <w:p>
            <w:pPr>
              <w:pStyle w:val="Compact"/>
              <w:jc w:val="left"/>
            </w:pPr>
            <w:r>
              <w:t xml:space="preserve">البقوليات</w:t>
            </w:r>
          </w:p>
        </w:tc>
        <w:tc>
          <w:tcPr/>
          <w:p>
            <w:pPr>
              <w:pStyle w:val="Compact"/>
              <w:jc w:val="left"/>
            </w:pPr>
            <w:r>
              <w:t xml:space="preserve">الألياف القابلة للتخمير والنشا المقاوم تعزز إنتاج SCFAs (البيوتيرات، البروبيونات، الأسيتات)، وتحسن وظيفة حاجز الأمعاء، والسكر في الدم، والشبع.</w:t>
            </w:r>
          </w:p>
        </w:tc>
        <w:tc>
          <w:tcPr/>
          <w:p>
            <w:pPr>
              <w:pStyle w:val="Compact"/>
              <w:jc w:val="left"/>
            </w:pPr>
            <w:r>
              <w:t xml:space="preserve">الضيق المعدي المعوي (الغاز، الانتفاخ) من الأوليغوساكاريدات؛ احتمال سوء امتصاص المعادن من الفايتات؛ الارتباط التفاعلي في بعض حساسيات الأغذية.</w:t>
            </w:r>
          </w:p>
        </w:tc>
        <w:tc>
          <w:tcPr/>
          <w:p>
            <w:pPr>
              <w:pStyle w:val="Compact"/>
              <w:jc w:val="left"/>
            </w:pPr>
            <w:r>
              <w:t xml:space="preserve">انقع، انبت، واطبخ جيداً. ابدأ بأجزاء صغيرة. استبعد مؤقتاً في بروتوكولات المناعة الذاتية (AIP) لتحديد المحفزات.</w:t>
            </w:r>
          </w:p>
        </w:tc>
      </w:tr>
      <w:tr>
        <w:tc>
          <w:tcPr/>
          <w:p>
            <w:pPr>
              <w:pStyle w:val="Compact"/>
              <w:jc w:val="left"/>
            </w:pPr>
            <w:r>
              <w:t xml:space="preserve">الخضروات الصليبية</w:t>
            </w:r>
          </w:p>
        </w:tc>
        <w:tc>
          <w:tcPr/>
          <w:p>
            <w:pPr>
              <w:pStyle w:val="Compact"/>
              <w:jc w:val="left"/>
            </w:pPr>
            <w:r>
              <w:t xml:space="preserve">غنية بمضادات الأكسدة (مثل السولفورافان) والألياف؛ تدعم مسارات إزالة السموم.</w:t>
            </w:r>
          </w:p>
        </w:tc>
        <w:tc>
          <w:tcPr/>
          <w:p>
            <w:pPr>
              <w:pStyle w:val="Compact"/>
              <w:jc w:val="left"/>
            </w:pPr>
            <w:r>
              <w:t xml:space="preserve">الغويتروجينات (مثل الإيزوثيوسيانات) يمكن أن تتداخل مع وظيفة الغدة الدرقية، خاصة لدى الأفراد ذوي نقص اليود.</w:t>
            </w:r>
          </w:p>
        </w:tc>
        <w:tc>
          <w:tcPr/>
          <w:p>
            <w:pPr>
              <w:pStyle w:val="Compact"/>
              <w:jc w:val="left"/>
            </w:pPr>
            <w:r>
              <w:t xml:space="preserve">تأكد من تناول كافٍ من اليود. يمكن للطبخ (مثل الطهو على البخار) أن يقلل من النشاط الغويتروجيني.</w:t>
            </w:r>
          </w:p>
        </w:tc>
      </w:tr>
      <w:tr>
        <w:tc>
          <w:tcPr/>
          <w:p>
            <w:pPr>
              <w:pStyle w:val="Compact"/>
              <w:jc w:val="left"/>
            </w:pPr>
            <w:r>
              <w:t xml:space="preserve">الخضروات الغنية بالأكسالات</w:t>
            </w:r>
          </w:p>
        </w:tc>
        <w:tc>
          <w:tcPr/>
          <w:p>
            <w:pPr>
              <w:pStyle w:val="Compact"/>
              <w:jc w:val="left"/>
            </w:pPr>
            <w:r>
              <w:t xml:space="preserve">مصدر لفيتامينات ومعادن متنوعة.</w:t>
            </w:r>
          </w:p>
        </w:tc>
        <w:tc>
          <w:tcPr/>
          <w:p>
            <w:pPr>
              <w:pStyle w:val="Compact"/>
              <w:jc w:val="left"/>
            </w:pPr>
            <w:r>
              <w:t xml:space="preserve">المحتوى العالي من الأكسالات يمكن أن يساهم في تكوين حصى الكلى أكسالات الكالسيوم لدى الأفراد المعرضين.</w:t>
            </w:r>
          </w:p>
        </w:tc>
        <w:tc>
          <w:tcPr/>
          <w:p>
            <w:pPr>
              <w:pStyle w:val="Compact"/>
              <w:jc w:val="left"/>
            </w:pPr>
            <w:r>
              <w:t xml:space="preserve">حافظ على كالسيوم غذائي كافٍ لربط الأكسالات في الأمعاء. حافظ على الترطيب. قدّر التناول لأولئك ذوي تاريخ من حصى الكلى.</w:t>
            </w:r>
          </w:p>
        </w:tc>
      </w:tr>
      <w:tr>
        <w:tc>
          <w:tcPr/>
          <w:p>
            <w:pPr>
              <w:pStyle w:val="Compact"/>
              <w:jc w:val="left"/>
            </w:pPr>
            <w:r>
              <w:t xml:space="preserve">جميع الخضروات الورقية</w:t>
            </w:r>
          </w:p>
        </w:tc>
        <w:tc>
          <w:tcPr/>
          <w:p>
            <w:pPr>
              <w:pStyle w:val="Compact"/>
              <w:jc w:val="left"/>
            </w:pPr>
            <w:r>
              <w:t xml:space="preserve">غنية بشكل استثنائي بفيتامين K، أساسي لتخثر الدم.</w:t>
            </w:r>
          </w:p>
        </w:tc>
        <w:tc>
          <w:tcPr/>
          <w:p>
            <w:pPr>
              <w:pStyle w:val="Compact"/>
              <w:jc w:val="left"/>
            </w:pPr>
            <w:r>
              <w:t xml:space="preserve">التقلبات في تناول فيتامين K يمكن أن تؤدي إلى تقلبات في قيم INR لدى المرضى تحت علاج الوارفارين.</w:t>
            </w:r>
          </w:p>
        </w:tc>
        <w:tc>
          <w:tcPr/>
          <w:p>
            <w:pPr>
              <w:pStyle w:val="Compact"/>
              <w:jc w:val="left"/>
            </w:pPr>
            <w:r>
              <w:t xml:space="preserve">حافظ على تناول يومي ثابت من الأغذية الغنية بفيتامين K. تجنب الزيادات أو الانخفاضات المفاجئة.</w:t>
            </w:r>
          </w:p>
        </w:tc>
      </w:tr>
    </w:tbl>
    <w:p>
      <w:pPr>
        <w:pStyle w:val="a0"/>
      </w:pPr>
      <w:r>
        <w:t xml:space="preserve">في الختام، كل من البقوليات والخضروات الورقية أدوات قوية لتعزيز الصحة، بشكل أساسي من خلال تأثيراتها العميقة على الميكروبيوتا المعوية وتوفرها للعناصر الدقيقة الأساسية. إن فوائد البقوليات تُتوسط إلى حد كبير من خلال إنتاج SCFAs المضادة للالتهابات ومنظمة للأيض. إن فوائد الخضروات الورقية واسعة، لكنها تأتي مع تحذيرات محددة تتطلب إدارة فردية. بالنسبة للأفراد المصابين بأمراض الغدة الدرقية، يكون ضمان كفاية اليود هو المفتاح لاستهلاك الخضروات الصليبية بأمان. بالنسبة لأولئك المعرضين لحصى الكلى، يكون إدارة تناول الأكسالات من خلال الكالسيوم والترطيب أمراً حاسماً. وللمرضى على مضادات التخثر، يكون الاتساق في استهلاك فيتامين K أمراً بالغ الأهمية. بعيداً عن كونها مفيدة أو ضارة بشكل عالمي، تُمثّل هذه الأغذية تداخلاً معقداً من المكونات التي تعتمد تأثيراتها على بيولوجيا الفرد الفريدة وحالته الصحية.</w:t>
      </w:r>
    </w:p>
    <w:bookmarkEnd w:id="21"/>
    <w:bookmarkStart w:id="22" w:name="Xe93d21fc9d5dd2fd7f72164b304351990d2bcf7"/>
    <w:p>
      <w:pPr>
        <w:pStyle w:val="2"/>
      </w:pPr>
      <w:r>
        <w:t xml:space="preserve">الدهون والزيوت: تحليل مقارني للتأثيرات الصحية حسب النوع والكمية</w:t>
      </w:r>
    </w:p>
    <w:p>
      <w:pPr>
        <w:pStyle w:val="FirstParagraph"/>
      </w:pPr>
      <w:r>
        <w:t xml:space="preserve">إن دور الدهون الغذائية في صحة الإنسان من أكثر المواضيع جدلاً في علوم التغذية. إن النوع، والكمية، وسياق استهلاك الدهون محددات حرجة للنتائج الفسيولوجية، حيث تؤثر في كل شيء من صحة القلب والالتهاب إلى سلامة الأمعاء والوظيفة الأيضية. يقدّم هذا القسم مقارنة دقيقة لزيوت وسمنات مختلفة، ويحلل تأثيراتها التفاضلية بناءً على ملامح الأحماض الدهنية ومركباتها الحيوية. إنه يتجاوز التصنيفات المبسطة للدهون</w:t>
      </w:r>
      <w:r>
        <w:t xml:space="preserve"> </w:t>
      </w:r>
      <w:r>
        <w:t xml:space="preserve">“</w:t>
      </w:r>
      <w:r>
        <w:t xml:space="preserve">الجيدة</w:t>
      </w:r>
      <w:r>
        <w:t xml:space="preserve">”</w:t>
      </w:r>
      <w:r>
        <w:t xml:space="preserve"> </w:t>
      </w:r>
      <w:r>
        <w:t xml:space="preserve">و”السيئة” لاستكشاف علاقات الجرعة-الاستجابة، ويفحص عواقب كل من تناول الدهون العالي والمنخفض. وعلاوة على ذلك، يتناول السياقات الصحية المحددة التي قد تكون فيها دهون معينة مفيدة أو ضارة، مما يوفر إطاراً متمايزاً للتوصيات الغذائية. الأدلة المقدمة تؤكد تحولاً واضراً عن النهج الموحد لاستهلاك الدهون، حيث تكشف أن الملف الدهني الأمثل مرتبط بشكل كبير بالفرد ويعتمد على عوامل مثل الصحة الأيضية، والحالة الالتهابية، وحتى الميكروبيوم المعوي.</w:t>
      </w:r>
    </w:p>
    <w:p>
      <w:pPr>
        <w:pStyle w:val="a0"/>
      </w:pPr>
      <w:r>
        <w:t xml:space="preserve">إن تنوع الدهون المتاحة —من زيت الزيتون البكر الممتاز إلى زيت جوز الهند الاستوائي وسمن الألبان— واسع، وتختلف آثارها الصحية بشكل كبير. يظهر زيت الزيتون باستمرار من البحث كركيزة لأنماط غذائية صحية، مثل النظام الغذائي المتوسطي. يتكون مكونه الأساسي من حمض الأوليك، وهو حمض دهني أحادي اللاتشبع من أوميغا-9، إلى جانب مجموعة غنية من البوليفينولات التي تمتلك خصائص مضادة للالتهابات قوية. وتُظهر العديد من الدراسات فوائده لصحة القلب والأوعية الدموية، بما في ذلك تحسينات في ملامح الدهون، وتقليلات في أكسدة الكوليسترول LDL، والتأثيرات المضادة للالتهابات. وخلصت مراجعة منهجية وتحليل تلوي إلى أن زيت الزيتون فعال في الوقاية من مرض السكري من النوع 2 وإدارته. وعلاوة على ذلك، يمتد دوره إلى صحة الكبد؛ حيث أظهرت دراسات التدخل أن مكملات زيت الزيتون تحسن من شدة مرض الكبد الدهني غير الكحولي (NAFLD) وتقلل من مستويات الدهون الثلاثية بشكل مستقل عن فقدان الوزن.</w:t>
      </w:r>
    </w:p>
    <w:p>
      <w:pPr>
        <w:pStyle w:val="a0"/>
      </w:pPr>
      <w:r>
        <w:t xml:space="preserve">على النقيض تماماً، ترتبط الدهون المشبعة، الموجودة بشكل شائع في الزبدة وزيت جوز الهند، تقليدياً بنتائج صحية سلبية. وجدت التجارب السريرية العشوائية (RCTs) قصيرة المدى التي تقارن بين تأثيرات 50 جراماً يومياً من الزبدة، أو زيت جوز الهند، أو زيت الزيتون على مدى أربعة أسابيع أن كل من الزبدة وزيت جوز الهند أدى إلى زيادة أكبر في الكوليسترول الكلي و LDL (</w:t>
      </w:r>
      <w:r>
        <w:t xml:space="preserve">“</w:t>
      </w:r>
      <w:r>
        <w:t xml:space="preserve">السيء</w:t>
      </w:r>
      <w:r>
        <w:t xml:space="preserve">”</w:t>
      </w:r>
      <w:r>
        <w:t xml:space="preserve">) مقارنة بزيت الزيتون. وهذا يتماشى مع تحليلات تلوية أوسع تربط بين تناول أعلى من الأحماض الدهنية المشبعة والمتحولة وخطر متزايد من أمراض القلب والأوعية الدموية والسكري من النوع 2. يشغل زيت جوز الهند، الذي يحتوي على نسبة عالية من الأحماض الدهنية متوسطة السلسلة (MCFAs)، مساحة مثيرة للجدل. بينما يدعي بعض المؤيدين أن MCFAs تُستقلب بشكل مختلف عن الدهون طويلة السلسلة، فإن الأدلة العلمية مختلطة. اقترحت إحدى RCTs أن زيت جوز الهند قد يحسن من ملامح الدهون بشكل أفضل من زيت فول الصويا، لكن دراسة أخرى ربطت بين الأنظمة الغذائية عالية الدهون القائمة على زيت جوز الهند و NAFLD في نماذج حيوانية. تتكون الزيوت النباتية مثل فول الصويا، وعباد الشمس، والكانولا أساساً من حمض اللينوليك، وهو حمض دهني متعدد اللاتشبع من أوميغا-6 (PUFA). بينما يكون أساسياً، يمكن أن نسبة أوميغا-6 إلى أوميغا-3 العالية، الشائعة في الأنظمة الغذائية الغربية، تعزز حالة التهابية. ربطت بعض الأبحاث بين تناول حمض اللينوليك العالي وزيادة الاستعداد للتهاب القولون في نماذج حيوانية، مما يشير إلى أن الاستهلاك المفرط لبعض الزيوت النباتية قد يؤثر سلباً على صحة الأمعاء. وأبرزت تجربة سريرية عشوائية لمدة 10 أسابيع تتضمن هذه الزيوت مرة أخرى تفوق زيت الزيتون في التأثير إيجاباً على ملامح الدهون.</w:t>
      </w:r>
    </w:p>
    <w:p>
      <w:pPr>
        <w:pStyle w:val="a0"/>
      </w:pPr>
      <w:r>
        <w:t xml:space="preserve">إن كمية الدهون المستهلكة مهمة مثل نوعها، مع وجود علاقة واضحة بين الجرعة والاستجابة. تم الترويج لأنظمة غذائية منخفضة الدهون منذ فترة طويلة لصحة القلب والأوعية الدموية، وبالنسبة للسكان ذوي تناول دهون أساسي منخفض جداً، فإن زيادة استهلاك الدهون الصحية مثل تلك الموجودة في زيت الزيتون مفيد بشكل واضح. ومع ذلك، يتغير السرد بشكل كبير عند النظر في الأنظمة الغذائية عالية الدهون. يمكن أن يؤثر الاستهلاك المفرط للدهون، بغض النظر عن مصدرها، على وظيفة حاجز الأمعاء. تحفّز الدهون الغذائية الكبد على إنتاج المزيد من الأحماض الصفراوية، ويمكن أن يؤدي الإفراط في هذه الأحماض إلى إتلاف الحاجز المخاطي للأمعاء، مما يزيد من نفاذية الأمعاء، أو</w:t>
      </w:r>
      <w:r>
        <w:t xml:space="preserve"> </w:t>
      </w:r>
      <w:r>
        <w:t xml:space="preserve">“</w:t>
      </w:r>
      <w:r>
        <w:t xml:space="preserve">تسرب الأمعاء</w:t>
      </w:r>
      <w:r>
        <w:t xml:space="preserve">”</w:t>
      </w:r>
      <w:r>
        <w:t xml:space="preserve">. وهذا يسمح لمكونات بكتيرية مثل الليبوبوليساكاريد (LPS) بالانتقال من الأمعاء إلى مجرى الدم، محفّزاً الالتهاب الجهازي. وقد أظهرت الأنظمة الغذائية الغنية بالدهون المشبعة والسكريات أنها تغير من الميكروبيوتا المعوية، مما يفضل توسيع الأنواع البكتيرية الموالية للالتهابات. وتكون هذه التأثيرات ضارة بشكل خاص للأفراد ذوي الحالات المسبقة مثل متلازمة الأيض، والسمنة، أو أمراض المناعة الذاتية مثل مرض كرون والتهاب القولون التقرحي، حيث يكون الخلل الميكروبي والالتهاب من السمات الرئيسية بالفعل.</w:t>
      </w:r>
    </w:p>
    <w:p>
      <w:pPr>
        <w:pStyle w:val="a0"/>
      </w:pPr>
      <w:r>
        <w:t xml:space="preserve">لذلك، يجب أن تكون التوصيات لتناول الدهون سياقية للغاية. بالنسبة للأفراد المصابين بفرط الدهون الثلاثية أو تاريخ عائلي قوي من أمراض القلب والأوعية الدموية، فإن استبدال الدهون المشبعة من الزبدة واللحوم المصنعة بالدهون الأحادية اللاتشبع من زيت الزيتون استراتيجية مدعومة جيداً. بالنسبة لأولئك الذين يعانون من مرض التهاب الأمعاء النشط، قد يكون تقليل جميع الوجبات عالية الدهون ضرورياً لتقليل تهيج الأمعاء الناجم عن الأحماض الصفراوية وإشارات الالتهاب الجهازي. وعلى العكس، بالنسبة لرياضي التحمل، قد يكون تناول دهون أعلى مناسباً لتزويد الأداء، شريطة أن تكون الدهون عالية الجودة. وحتى ضمن فئة الدهون الصحية، هناك فروق دقيقة. يحتوي زيت الزيتون البكر الممتاز على مركبات حيوية حساسة للحرارة العالية والتخزين المطول، مما يعني أن فوائده الصحية قد تكون في أقصاها عند استخدامه في الصلصات أو للطبخ على حرارة منخفضة بدلاً من القلي العميق. يقدّم الجدول أدناه نظرة مقارنة شاملة للدهون المختلفة بناءً على الأدلة المتاحة.</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النوع الدهني/الزيت</w:t>
            </w:r>
          </w:p>
        </w:tc>
        <w:tc>
          <w:tcPr/>
          <w:p>
            <w:pPr>
              <w:pStyle w:val="Compact"/>
              <w:jc w:val="left"/>
            </w:pPr>
            <w:r>
              <w:t xml:space="preserve">الملف الدهني الأساسي</w:t>
            </w:r>
          </w:p>
        </w:tc>
        <w:tc>
          <w:tcPr/>
          <w:p>
            <w:pPr>
              <w:pStyle w:val="Compact"/>
              <w:jc w:val="left"/>
            </w:pPr>
            <w:r>
              <w:t xml:space="preserve">المركبات الحيوية الرئيسية</w:t>
            </w:r>
          </w:p>
        </w:tc>
        <w:tc>
          <w:tcPr/>
          <w:p>
            <w:pPr>
              <w:pStyle w:val="Compact"/>
              <w:jc w:val="left"/>
            </w:pPr>
            <w:r>
              <w:t xml:space="preserve">الارتباط الصحي العام</w:t>
            </w:r>
          </w:p>
        </w:tc>
        <w:tc>
          <w:tcPr/>
          <w:p>
            <w:pPr>
              <w:pStyle w:val="Compact"/>
              <w:jc w:val="left"/>
            </w:pPr>
            <w:r>
              <w:t xml:space="preserve">سياقات الحذر/الضرر</w:t>
            </w:r>
          </w:p>
        </w:tc>
      </w:tr>
      <w:tr>
        <w:tc>
          <w:tcPr/>
          <w:p>
            <w:pPr>
              <w:pStyle w:val="Compact"/>
              <w:jc w:val="left"/>
            </w:pPr>
            <w:r>
              <w:t xml:space="preserve">زيت الزيتون البكر الممتاز</w:t>
            </w:r>
          </w:p>
        </w:tc>
        <w:tc>
          <w:tcPr/>
          <w:p>
            <w:pPr>
              <w:pStyle w:val="Compact"/>
              <w:jc w:val="left"/>
            </w:pPr>
            <w:r>
              <w:t xml:space="preserve">غني بالدهون الأحادية اللاتشبع (حمض الأوليك)</w:t>
            </w:r>
          </w:p>
        </w:tc>
        <w:tc>
          <w:tcPr/>
          <w:p>
            <w:pPr>
              <w:pStyle w:val="Compact"/>
              <w:jc w:val="left"/>
            </w:pPr>
            <w:r>
              <w:t xml:space="preserve">البوليفينولات، التوكولات</w:t>
            </w:r>
          </w:p>
        </w:tc>
        <w:tc>
          <w:tcPr/>
          <w:p>
            <w:pPr>
              <w:pStyle w:val="Compact"/>
              <w:jc w:val="left"/>
            </w:pPr>
            <w:r>
              <w:t xml:space="preserve">مرتبط باستمرار بالفوائد القلبية والأيضية؛ مضاد للالتهابات.</w:t>
            </w:r>
          </w:p>
        </w:tc>
        <w:tc>
          <w:tcPr/>
          <w:p>
            <w:pPr>
              <w:pStyle w:val="Compact"/>
              <w:jc w:val="left"/>
            </w:pPr>
            <w:r>
              <w:t xml:space="preserve">قد يتدهور ويفقد الفوائد إذا سُخن بإفراط أو خُزن بشكل غير سليم.</w:t>
            </w:r>
          </w:p>
        </w:tc>
      </w:tr>
      <w:tr>
        <w:tc>
          <w:tcPr/>
          <w:p>
            <w:pPr>
              <w:pStyle w:val="Compact"/>
              <w:jc w:val="left"/>
            </w:pPr>
            <w:r>
              <w:t xml:space="preserve">الزبدة</w:t>
            </w:r>
          </w:p>
        </w:tc>
        <w:tc>
          <w:tcPr/>
          <w:p>
            <w:pPr>
              <w:pStyle w:val="Compact"/>
              <w:jc w:val="left"/>
            </w:pPr>
            <w:r>
              <w:t xml:space="preserve">غني بالدهون المشبعة</w:t>
            </w:r>
          </w:p>
        </w:tc>
        <w:tc>
          <w:tcPr/>
          <w:p>
            <w:pPr>
              <w:pStyle w:val="Compact"/>
              <w:jc w:val="left"/>
            </w:pPr>
            <w:r>
              <w:t xml:space="preserve">فيتامينات A، D، E، K؛ حمض اللينوليك المترافق (CLA)</w:t>
            </w:r>
          </w:p>
        </w:tc>
        <w:tc>
          <w:tcPr/>
          <w:p>
            <w:pPr>
              <w:pStyle w:val="Compact"/>
              <w:jc w:val="left"/>
            </w:pPr>
            <w:r>
              <w:t xml:space="preserve">مرتبط بتأثيرات سلبية على دهون الدم مقارنة بالدهون غير المشبعة.</w:t>
            </w:r>
          </w:p>
        </w:tc>
        <w:tc>
          <w:tcPr/>
          <w:p>
            <w:pPr>
              <w:pStyle w:val="Compact"/>
              <w:jc w:val="left"/>
            </w:pPr>
            <w:r>
              <w:t xml:space="preserve">الاستهلاك العالي مرتبط بزيادة خطر أمراض القلب والأوعية الدموية والسكري من النوع 2.</w:t>
            </w:r>
          </w:p>
        </w:tc>
      </w:tr>
      <w:tr>
        <w:tc>
          <w:tcPr/>
          <w:p>
            <w:pPr>
              <w:pStyle w:val="Compact"/>
              <w:jc w:val="left"/>
            </w:pPr>
            <w:r>
              <w:t xml:space="preserve">زيت جوز الهند</w:t>
            </w:r>
          </w:p>
        </w:tc>
        <w:tc>
          <w:tcPr/>
          <w:p>
            <w:pPr>
              <w:pStyle w:val="Compact"/>
              <w:jc w:val="left"/>
            </w:pPr>
            <w:r>
              <w:t xml:space="preserve">غني بالأحماض الدهنية متوسطة السلسلة (MCFAs) والدهون المشبعة</w:t>
            </w:r>
          </w:p>
        </w:tc>
        <w:tc>
          <w:tcPr/>
          <w:p>
            <w:pPr>
              <w:pStyle w:val="Compact"/>
              <w:jc w:val="left"/>
            </w:pPr>
            <w:r>
              <w:t xml:space="preserve">حمض اللوريك</w:t>
            </w:r>
          </w:p>
        </w:tc>
        <w:tc>
          <w:tcPr/>
          <w:p>
            <w:pPr>
              <w:pStyle w:val="Compact"/>
              <w:jc w:val="left"/>
            </w:pPr>
            <w:r>
              <w:t xml:space="preserve">مثير للجدل. بعض الدراسات تظهر ملامح دهينية محايدة أو أفضل مقابل الزبدة، أخرى تربطه بـ NAFLD.</w:t>
            </w:r>
          </w:p>
        </w:tc>
        <w:tc>
          <w:tcPr/>
          <w:p>
            <w:pPr>
              <w:pStyle w:val="Compact"/>
              <w:jc w:val="left"/>
            </w:pPr>
            <w:r>
              <w:t xml:space="preserve">الاستهلاك العالي قد يرفع الكوليسترول LDL. الأدلة على الفوائد ليست حاسمة.</w:t>
            </w:r>
          </w:p>
        </w:tc>
      </w:tr>
      <w:tr>
        <w:tc>
          <w:tcPr/>
          <w:p>
            <w:pPr>
              <w:pStyle w:val="Compact"/>
              <w:jc w:val="left"/>
            </w:pPr>
            <w:r>
              <w:t xml:space="preserve">الزيوت النباتية (فول الصويا، عباد الشمس)</w:t>
            </w:r>
          </w:p>
        </w:tc>
        <w:tc>
          <w:tcPr/>
          <w:p>
            <w:pPr>
              <w:pStyle w:val="Compact"/>
              <w:jc w:val="left"/>
            </w:pPr>
            <w:r>
              <w:t xml:space="preserve">غني بأوميغا-6 PUFA (حمض اللينوليك)</w:t>
            </w:r>
          </w:p>
        </w:tc>
        <w:tc>
          <w:tcPr/>
          <w:p>
            <w:pPr>
              <w:pStyle w:val="Compact"/>
              <w:jc w:val="left"/>
            </w:pPr>
            <w:r>
              <w:t xml:space="preserve">الفيتوستيرولات</w:t>
            </w:r>
          </w:p>
        </w:tc>
        <w:tc>
          <w:tcPr/>
          <w:p>
            <w:pPr>
              <w:pStyle w:val="Compact"/>
              <w:jc w:val="left"/>
            </w:pPr>
            <w:r>
              <w:t xml:space="preserve">يمكن أن تحسن من ملامح الدهون عند استبدال الدهون المشبعة، لكن أوميغا-6 العالي قد يعزز الالتهاب.</w:t>
            </w:r>
          </w:p>
        </w:tc>
        <w:tc>
          <w:tcPr/>
          <w:p>
            <w:pPr>
              <w:pStyle w:val="Compact"/>
              <w:jc w:val="left"/>
            </w:pPr>
            <w:r>
              <w:t xml:space="preserve">الأنظمة الغذائية الغنية جداً بأوميغا-6 مقارنة بأوميغا-3 يمكن أن تكون مؤيدة للالتهاب.</w:t>
            </w:r>
          </w:p>
        </w:tc>
      </w:tr>
      <w:tr>
        <w:tc>
          <w:tcPr/>
          <w:p>
            <w:pPr>
              <w:pStyle w:val="Compact"/>
              <w:jc w:val="left"/>
            </w:pPr>
            <w:r>
              <w:t xml:space="preserve">زيت الأفوكادو</w:t>
            </w:r>
          </w:p>
        </w:tc>
        <w:tc>
          <w:tcPr/>
          <w:p>
            <w:pPr>
              <w:pStyle w:val="Compact"/>
              <w:jc w:val="left"/>
            </w:pPr>
            <w:r>
              <w:t xml:space="preserve">غني بالدهون الأحادية اللاتشبع (حمض الأوليك)</w:t>
            </w:r>
          </w:p>
        </w:tc>
        <w:tc>
          <w:tcPr/>
          <w:p>
            <w:pPr>
              <w:pStyle w:val="Compact"/>
              <w:jc w:val="left"/>
            </w:pPr>
            <w:r>
              <w:t xml:space="preserve">الفيتوستيرولات، التوكولات</w:t>
            </w:r>
          </w:p>
        </w:tc>
        <w:tc>
          <w:tcPr/>
          <w:p>
            <w:pPr>
              <w:pStyle w:val="Compact"/>
              <w:jc w:val="left"/>
            </w:pPr>
            <w:r>
              <w:t xml:space="preserve">فوائد مماثلة لزيت الزيتون، على الرغم من أنها أقل دراسة في تجارب بشرية واسعة النطاق.</w:t>
            </w:r>
          </w:p>
        </w:tc>
        <w:tc>
          <w:tcPr/>
          <w:p>
            <w:pPr>
              <w:pStyle w:val="Compact"/>
              <w:jc w:val="left"/>
            </w:pPr>
            <w:r>
              <w:t xml:space="preserve">غير محدد في المصادر المقدمة.</w:t>
            </w:r>
          </w:p>
        </w:tc>
      </w:tr>
    </w:tbl>
    <w:p>
      <w:pPr>
        <w:pStyle w:val="a0"/>
      </w:pPr>
      <w:r>
        <w:t xml:space="preserve">في الختام، يُفهم الجدل حول الدهون الغذائية بشكل أفضل ليس كصراع بين فئات متعارضة، بل كتداخل معقد من أنواع الأحماض الدهنية، والكميات، والسياقات. يبرز زيت الزيتون كدهن مفيد باستمرار بسبب ملفه الأحادي اللاتشبع ومحتواه البوليفينولي القوي. الدهون المشبعة من الزبدة، وبدرجة أقل زيت جوز الهند، ضارة بشكل عام بمؤشرات القلب والأوعية الدموية عند استهلاكها بإفراط. تقدم الزيوت النباتية أرضية وسطى لكنها تتطلب الانتباه لتوازن أوميغا-6 إلى أوميغا-3. الأهم من ذلك، أن الجرعة مهمة بشكل هائل. بينما يمكن أن تكون الأنظمة الغذائية منخفضة الدهون مفيدة لمجموعات سكانية معينة، يمكن أن تفاقم الأنظمة الغذائية عالية الدهون، بغض النظر عن المصدر، من نفاذية الأمعاء والالتهاب الجهازي، مما يشكل مخاطر للأفراد ذوي الحالات الأيضية والمناعية. النهج الأمثل ليس إزالة الدهون بل تحديد أولوية الدهون غير المشبعة، وخاصة من زيت الزيتون، واستهلاكها باعتدال كجزء من نظام غذائي متوازن.</w:t>
      </w:r>
    </w:p>
    <w:bookmarkEnd w:id="22"/>
    <w:bookmarkStart w:id="23" w:name="X5a0bfe7a79b9aa2959d04aa56a50f47878d2db4"/>
    <w:p>
      <w:pPr>
        <w:pStyle w:val="2"/>
      </w:pPr>
      <w:r>
        <w:t xml:space="preserve">المكسرات، البذور، والحمص: التوصيات السياقية والملاءمة</w:t>
      </w:r>
    </w:p>
    <w:p>
      <w:pPr>
        <w:pStyle w:val="FirstParagraph"/>
      </w:pPr>
      <w:r>
        <w:t xml:space="preserve">تُعدّ المكسرات، والبذور، والحمص أغذية قوية، ويُحتفل بها لملامحها الغذائية الكثيفة، والتي تشمل البروتين النباتي عالي الجودة، والدهون غير المشبعة الصحية، والألياف، والفيتامينات، وثروة من المواد الكيميائية النباتية الحيوية. إنها مكونات أساسية للعديد من الأنماط الغذائية الصحية وقد تم ربطها بقوة بانخفاض خطر أمراض القلب والأوعية الدموية، والسكري من النوع 2، ووفيات جميع الأسباب. ومع ذلك، مثل الأغذية الكاملة الأخرى، فإن ملاءمتها ليست عالمية. قد تحتاج مجموعات سكانية معينة إلى تقليلها أو تجنبها بسبب الحساسية، أو حالات طبية محددة، أو حساسيات هضمية. يقدّم هذا القسم تحليلاً مفصلاً لبذور عباد الشمس السورية، وبذور اليقطين، والفول السوداني، والحمص، ويقيّم فوائدها الصحية العامة ويحدد السيناريوهات المحددة التي يتطلب فيها استهلاكها اهتماماً حذراً. ومن خلال فحص الأدلة على دورها في الصحة الأيضية، والحساسية، وإدارة الأمراض المزمنة، يقدّم هذا التحليل دليلاً عملياً لتخصيص إدراجها في نظام الفرد الغذائي. الاكتشاف المركزي هو أنه بينما تكون هذه الأغذية عامة مفيدة للغاية، يجب تخصيص تطبيقها لملف الفرد الصحي الفريد.</w:t>
      </w:r>
    </w:p>
    <w:p>
      <w:pPr>
        <w:pStyle w:val="a0"/>
      </w:pPr>
      <w:r>
        <w:t xml:space="preserve">تتشارك بذور عباد الشمس السورية، وبذور اليقطين، والفول السوداني، والحمص مجموعة مشتركة من الفوائد المشتقة من تركيبتها المغذية الكبرى والدقيقة. إنها مصادر ممتازة للألياف، حيث أن 25 جراماً من بذور عباد الشمس أو اليقطين توفر 1.7 جراماً من الألياف. وتساهم هذه الألياف في صحة الأمعاء من خلال خدمتها كركيزة للبكتيريا المفيدة. يُعدّ الفول السوداني، على الرغم من كونه بقولياً، مغذياً مشابهاً للمكسرات الشجرية وهو مصدر غني للبروتين، والدهون الصحية، والريسفيراترول. وقد تم دراسة بذور اليقطين بشكل خاص لفوائدها الأيضية المحتملة. تشير الأبحاث إلى أن مركبات في بذور اليقطين، مثل الفلافونويدات والبوليساكاريدات، يمكن أن تعزز إفراز الأنسولين، وأظهرت الدراسات في نماذج حيوانية فوائد محتملة لعوامل خطر متلازمة الأيض مثل مقاومة الأنسولين والإجهاد التأكسدي. والحمص هو بقول كلاسيكي، غني بشكل استثنائي بالألياف والنشا المقاوم، والتي تمر إلى القولون لتُخمر إلى أحماض دهنية قصيرة السلسلة (SCFAs). وكما تمت مناقشته سابقاً، تكون هذه SCFAs حاسمة لسلامة حاجز الأمعاء والصحة الأيضية. وقد أظهر الاستهلاك طويل المدى للحمص أنه يحسن من حساسية الأنسولين مقارنة بالأغذية القائمة على القمح، سواء في إعدادات الوجبات الحادة أو على مدى عدة أسابيع.</w:t>
      </w:r>
    </w:p>
    <w:p>
      <w:pPr>
        <w:pStyle w:val="a0"/>
      </w:pPr>
      <w:r>
        <w:t xml:space="preserve">على الرغم من هذه الفوائد الواسعة، هناك سيناريوهات مميزة حيث يجب تقليل استهلاك هذه الأغذية أو تجنبها. إن القلق الأبرز هو الحساسية. تُعدّ حساسية الفول السوداني من أكثر حساسيات الأغذية شيوعاً وخطورة. من المهم أن الارتباط التفاعلي السريري بين الفول السوداني والمكسرات الشجرية شائع، مما يعني أن الأفراد المصابين بحساسية لأحدهم غالباً ما يتم اختبارهم للتحسس للآخر. كما يُلاحظ حساسية بذور السمسم لارتباطها التفاعلي مع الفول السوداني. بينما تعتبر حساسية بذور عباد الشمس واليقطين نادرة، فقد تم توثيقها في الأدبيات. نظراً لاحتمالية خطورة التفاعلات الحساسية، يجب على الأفراد ذوي الحساسيات المعروفة تجنب هذه الأغذية بشكل صارم. بالنسبة لأولئك بدون حساسيات مُشخصة ولكن لديهم تاريخ عائلي أو عوامل خطر أخرى، يُنصح بالتقديم الحذر والمراقبة.</w:t>
      </w:r>
    </w:p>
    <w:p>
      <w:pPr>
        <w:pStyle w:val="a0"/>
      </w:pPr>
      <w:r>
        <w:t xml:space="preserve">يُعدّ اعتبار آخر حاسم هو صحة الكلى. يمكن للأغذية الغنية بالأكسالات، بما في ذلك العديد من المكسرات والبذور مثل اللوز، وجوز البرازيل، والكاجو، أن تساهم في تكوين حصى الكلى أكسالات الكالسيوم لدى الأفراد المعرضين. بالنسبة للمرضى ذوي تاريخ من تكوين الحصى، غالباً ما يتضمن الإدارة الغذائية تقليل تناول هذه الأغذية. ويمتد هذا التحذير إلى الخضروات الغنية بالأكسالات مثل السبانخ والراوند. ويؤثر خطر تكوين الحصى على التوازن بين الأكسالات والكالسيوم؛ يساعد الكالسيوم الغذائي الكافي على ربط الأكسالات في الأمعاء، مما يقلل من امتصاصها. لذلك، غالباً ما يكون الامتنااد الشامل عن جميع المكسرات والبذور غير ضروري؛ بل الاعتدال وضمان كفاية تناول الكالسيوم هما الاستراتيجيتان الرئيسيتان.</w:t>
      </w:r>
    </w:p>
    <w:p>
      <w:pPr>
        <w:pStyle w:val="a0"/>
      </w:pPr>
      <w:r>
        <w:t xml:space="preserve">يُمثّل مرض الكلى المزمن (CKD) سياقاً آخر حيث قد تحتاج هذه الأغذية إلى التقييد. مع تراجع وظيفة الكلى، تتناقص قدرة الجسم على إفراز الفضلات والإلكتروليتات. يُعدّ تقييد البروتين استراتيجية غذائية طويلة الأمد لإبطاء تطور CKD وتأخير ظهور التسمم البولي. في المراحل المتأخرة من CKD، يصبح تقييد الفوسفور والبوتاسيوم أيضاً حاسماً. غالباً ما تكون المكسرات والبذور عالية في كل من الفوسفور والبوتاسيوم، مما يعني أن استهلاكها قد يحتاج إلى التقييد لدى المرضى ذوي CKD المتقدم. يتم اتخاذ قرار تقييد هذه الأغذية عادةً من قبل أخصائي تغذية مسجل متخصص في التغذية الكلوية، بناءً على قيم المختبر المحددة للمريض ومرحلة المرض.</w:t>
      </w:r>
    </w:p>
    <w:p>
      <w:pPr>
        <w:pStyle w:val="a0"/>
      </w:pPr>
      <w:r>
        <w:t xml:space="preserve">أخيراً، الحساسية الهضمية سبب شائع لتعديل التناول. يمكن أن يسبب المحتوى العالي من الألياف الذي يمنح الفوائد الصحية مشاكل للأفراد المصابين بحالات مثل متلازمة القولون العصبي (IBS) أو الانتشار البكتيري الزائد في الأمعاء الدقيقة (SIBO). بالنسبة لهؤلاء الأفراد، يمكن أن تُفاقم الكربوهيدرات القابلة للتخمير في البقوليات والبذور (FODMAPs) أعراض الانتفاخ والغاز والألم. يمكن لنظام غذائي إقصائي منخفض-FODMAP، يتبعه إعادة تقديم تدريجية، أن يساعد في تحديد الأغذية المحفزة المحددة. في مثل هذه الحالات، يمكن للنقع، والإنبات، والطبخ بالضغط للبقوليات أن يقلل من محتواها من FODMAP ويحسن التحمل. يلخص الجدول التالي ملاءمة هذه الأغذية عبر السياقات المختلفة.</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الغذاء</w:t>
            </w:r>
          </w:p>
        </w:tc>
        <w:tc>
          <w:tcPr/>
          <w:p>
            <w:pPr>
              <w:pStyle w:val="Compact"/>
              <w:jc w:val="left"/>
            </w:pPr>
            <w:r>
              <w:t xml:space="preserve">الفوائد الصحية العامة</w:t>
            </w:r>
          </w:p>
        </w:tc>
        <w:tc>
          <w:tcPr/>
          <w:p>
            <w:pPr>
              <w:pStyle w:val="Compact"/>
              <w:jc w:val="left"/>
            </w:pPr>
            <w:r>
              <w:t xml:space="preserve">يُنصح به لـ</w:t>
            </w:r>
          </w:p>
        </w:tc>
        <w:tc>
          <w:tcPr/>
          <w:p>
            <w:pPr>
              <w:pStyle w:val="Compact"/>
              <w:jc w:val="left"/>
            </w:pPr>
            <w:r>
              <w:t xml:space="preserve">يُقلّل/يُتجنب لـ</w:t>
            </w:r>
          </w:p>
        </w:tc>
      </w:tr>
      <w:tr>
        <w:tc>
          <w:tcPr/>
          <w:p>
            <w:pPr>
              <w:pStyle w:val="Compact"/>
              <w:jc w:val="left"/>
            </w:pPr>
            <w:r>
              <w:t xml:space="preserve">بذور عباد الشمس السورية</w:t>
            </w:r>
          </w:p>
        </w:tc>
        <w:tc>
          <w:tcPr/>
          <w:p>
            <w:pPr>
              <w:pStyle w:val="Compact"/>
              <w:jc w:val="left"/>
            </w:pPr>
            <w:r>
              <w:t xml:space="preserve">غنية بالألياف، والدهون الصحية، وفيتامين E.</w:t>
            </w:r>
          </w:p>
        </w:tc>
        <w:tc>
          <w:tcPr/>
          <w:p>
            <w:pPr>
              <w:pStyle w:val="Compact"/>
              <w:jc w:val="left"/>
            </w:pPr>
            <w:r>
              <w:t xml:space="preserve">السكان العامة لصحة القلب، ودعم مضادات الأكسدة.</w:t>
            </w:r>
          </w:p>
        </w:tc>
        <w:tc>
          <w:tcPr/>
          <w:p>
            <w:pPr>
              <w:pStyle w:val="Compact"/>
              <w:jc w:val="left"/>
            </w:pPr>
            <w:r>
              <w:t xml:space="preserve">الأفراد ذوي حساسية محددة لبذور عباد الشمس؛ يجب على ذوي حصى الكلى تقليل التناول.</w:t>
            </w:r>
          </w:p>
        </w:tc>
      </w:tr>
      <w:tr>
        <w:tc>
          <w:tcPr/>
          <w:p>
            <w:pPr>
              <w:pStyle w:val="Compact"/>
              <w:jc w:val="left"/>
            </w:pPr>
            <w:r>
              <w:t xml:space="preserve">بذور اليقطين</w:t>
            </w:r>
          </w:p>
        </w:tc>
        <w:tc>
          <w:tcPr/>
          <w:p>
            <w:pPr>
              <w:pStyle w:val="Compact"/>
              <w:jc w:val="left"/>
            </w:pPr>
            <w:r>
              <w:t xml:space="preserve">غنية بالألياف، والمغنيسيوم، والزنك، ومركبات قد تحسن من حساسية الأنسولين.</w:t>
            </w:r>
          </w:p>
        </w:tc>
        <w:tc>
          <w:tcPr/>
          <w:p>
            <w:pPr>
              <w:pStyle w:val="Compact"/>
              <w:jc w:val="left"/>
            </w:pPr>
            <w:r>
              <w:t xml:space="preserve">السكان العامة؛ قد تكون مفيدة بشكل خاص للصحة الأيضية.</w:t>
            </w:r>
          </w:p>
        </w:tc>
        <w:tc>
          <w:tcPr/>
          <w:p>
            <w:pPr>
              <w:pStyle w:val="Compact"/>
              <w:jc w:val="left"/>
            </w:pPr>
            <w:r>
              <w:t xml:space="preserve">الأفراد ذوي حساسية نادرة لبذور اليقطين؛ يجب على ذوي حصى الكلى تقليل التناول.</w:t>
            </w:r>
          </w:p>
        </w:tc>
      </w:tr>
      <w:tr>
        <w:tc>
          <w:tcPr/>
          <w:p>
            <w:pPr>
              <w:pStyle w:val="Compact"/>
              <w:jc w:val="left"/>
            </w:pPr>
            <w:r>
              <w:t xml:space="preserve">الفول السوداني</w:t>
            </w:r>
          </w:p>
        </w:tc>
        <w:tc>
          <w:tcPr/>
          <w:p>
            <w:pPr>
              <w:pStyle w:val="Compact"/>
              <w:jc w:val="left"/>
            </w:pPr>
            <w:r>
              <w:t xml:space="preserve">مصدر ممتاز للبروتين، والدهون الصحية، والريسفيراترول.</w:t>
            </w:r>
          </w:p>
        </w:tc>
        <w:tc>
          <w:tcPr/>
          <w:p>
            <w:pPr>
              <w:pStyle w:val="Compact"/>
              <w:jc w:val="left"/>
            </w:pPr>
            <w:r>
              <w:t xml:space="preserve">السكان العامة لصحة القلب والأوعية الدموية.</w:t>
            </w:r>
          </w:p>
        </w:tc>
        <w:tc>
          <w:tcPr/>
          <w:p>
            <w:pPr>
              <w:pStyle w:val="Compact"/>
              <w:jc w:val="left"/>
            </w:pPr>
            <w:r>
              <w:t xml:space="preserve">الأفراد ذوي حساسية الفول السوداني (شائعة ومحتملة الخطورة) والارتباط التفاعلي المحتمل مع المكسرات الشجرية.</w:t>
            </w:r>
          </w:p>
        </w:tc>
      </w:tr>
      <w:tr>
        <w:tc>
          <w:tcPr/>
          <w:p>
            <w:pPr>
              <w:pStyle w:val="Compact"/>
              <w:jc w:val="left"/>
            </w:pPr>
            <w:r>
              <w:t xml:space="preserve">الحمص</w:t>
            </w:r>
          </w:p>
        </w:tc>
        <w:tc>
          <w:tcPr/>
          <w:p>
            <w:pPr>
              <w:pStyle w:val="Compact"/>
              <w:jc w:val="left"/>
            </w:pPr>
            <w:r>
              <w:t xml:space="preserve">غني بالألياف والنشا المقاوم، ويعزز إنتاج SCFAs ودعم الميكروبيوم المعوي.</w:t>
            </w:r>
          </w:p>
        </w:tc>
        <w:tc>
          <w:tcPr/>
          <w:p>
            <w:pPr>
              <w:pStyle w:val="Compact"/>
              <w:jc w:val="left"/>
            </w:pPr>
            <w:r>
              <w:t xml:space="preserve">السكان العامة، وخاصة للصحة الأيضية وصحة الأمعاء.</w:t>
            </w:r>
          </w:p>
        </w:tc>
        <w:tc>
          <w:tcPr/>
          <w:p>
            <w:pPr>
              <w:pStyle w:val="Compact"/>
              <w:jc w:val="left"/>
            </w:pPr>
            <w:r>
              <w:t xml:space="preserve">الأفراد ذوي IBS/SIBO الحساسين لـ FODMAPs البقولية؛ قد يحتاج ذوي CKD المتقدم إلى التقييد بسبب محتوى البوتاسيوم/الفوسفور.</w:t>
            </w:r>
          </w:p>
        </w:tc>
      </w:tr>
    </w:tbl>
    <w:p>
      <w:pPr>
        <w:pStyle w:val="a0"/>
      </w:pPr>
      <w:r>
        <w:t xml:space="preserve">باختصار، بذور عباد الشمس السورية، وبذور اليقطين، والفول السوداني، والحمص أغذية مغذية بلا شك ويمكن أن تلعب دوراً قيماً في النظام الغذائي الصحي. إن فوائدها لصحة القلب والأوعية الدموية، والتنظيم الأيضي، ودعم الميكروبيوم المعوي موثقة جيداً. ومع ذلك، فإن تطبيقها ليس خالياً من القيود. تستلزم الحساسيات، وخاصة للفول السوداني والمكسرات الشجرية، الامتنااد الكامل. بالنسبة للأفراد ذوي الاستعداد لتكوين حصى الكلى أكسالات الكالسيوم، يُعدّ الاعتدال في تناول المكسرات والبذور الغنية بالأكسالات استراتيجية حكيمة. في سياق مرض الكلى المزمن المتقدم، قد يتطلب محتوى البروتين والفوسفور والبوتاسيوم تقييد تناولها. وأخيراً، يمكن أن تجعل الحساسيات الهضمية هذه الأغذية عالية الألياف صعبة التحمل لبعض الأفراد. لذلك، يكون النهج الشخصي ضرورياً. بينما تكون هذه الأغذية</w:t>
      </w:r>
      <w:r>
        <w:t xml:space="preserve"> </w:t>
      </w:r>
      <w:r>
        <w:t xml:space="preserve">“</w:t>
      </w:r>
      <w:r>
        <w:t xml:space="preserve">مناسبة</w:t>
      </w:r>
      <w:r>
        <w:t xml:space="preserve">”</w:t>
      </w:r>
      <w:r>
        <w:t xml:space="preserve"> </w:t>
      </w:r>
      <w:r>
        <w:t xml:space="preserve">بشكل عام للسكان الأصحاء، فإن تحديد متى يجب تقليلها أو تجنبها أمر حرج لإدارة الحالات الصحية المحددة وضمان أن إدراجها في النظام الغذائي مفيد حقاً.</w:t>
      </w:r>
    </w:p>
    <w:bookmarkEnd w:id="23"/>
    <w:bookmarkStart w:id="24" w:name="X2716fe7ae31ee3ac3193b544e23a3732238d0fb"/>
    <w:p>
      <w:pPr>
        <w:pStyle w:val="2"/>
      </w:pPr>
      <w:r>
        <w:t xml:space="preserve">التطبيقات العلاجية للعسل: الاستخدامات المضادة للميكروبات والإدارة السريرية</w:t>
      </w:r>
    </w:p>
    <w:p>
      <w:pPr>
        <w:pStyle w:val="FirstParagraph"/>
      </w:pPr>
      <w:r>
        <w:t xml:space="preserve">يُعدّ العسل، المادة الطبيعية المُنتجة من النحل، مادةً مُستخدمة للأغراض الطبية منذ آلاف السنين. وإلى جانب دوره كمحلٍّ، فإن مجموعة متزايدة من الأدلة العلمية الحديثة تدعم تطبيقاته العلاجية، وخاصة في رعاية الجروح والتخفيف العرضي من التهابات الجهاز التنفسي العلوي. يقدّم هذا القسم تحليلاً شاملاً للخصائص العلاجية للعسل، مع التركيز على آلياته المضادة للميكروبات وفعاليته في سيناريوهات الإدارة السريرية. ويفحص المركبات الحيوية الرئيسية المسؤولة عن تأثيراته، ويقارن فعاليته مقابل العلاجات التقليدية مثل الديكستروميثورفان للسعال، ويناقش تطبيقه في التئام الجروح المهنية. ويستند التحليل حصرياً على المواد البحثية المقدّمة لتفصيل كيفية الاستفادة من العسل النقي والعضوي كطريقة علاجية متممة. تشير النتائج إلى أن العسل يمتلك أنشطة بيولوجية قوية ومتعددة الجوانب يتم التحقق منها بشكل متزايد من خلال التجارب السريرية الصارمة، مما يؤهله كعامل قيّم في الطب التكاملي.</w:t>
      </w:r>
    </w:p>
    <w:p>
      <w:pPr>
        <w:pStyle w:val="a0"/>
      </w:pPr>
      <w:r>
        <w:t xml:space="preserve">تنبع القوة العلاجية للعسل من تآزر معقد من المركبات الحيوية التي تعمل معاً لتثبيط نمو الميكروبات وتعزيز إصلاح الأنسجة. وقد تم تحديد العديد من المكونات الرئيسية كمسؤولة عن نشاطه المضاد للميكروبات. يُعدّ بيروكسيد الهيدروجين مكوناً مضاداً للبكتيريا في معظم أنواع العسل، يُنتج بالفعل الإنزيمي لأكسيداز الجلوكوز، وهو إنزيم يضيفه النحل إلى الرحيق. وهذا يخلق بيئة حمضية قليلاً، حيث أن العسل حمضي بطبيعته، مما يثبط بشكل إضافي تكاثر البكتيريا. مركب آخر حاسم، وخاصة في عسل المانوكا، هو الميثيل جليوكسال (MGO). يشتق MGO من ثنائي هيدروكسي أسيتون في رحيق شجرة المانوكا وهو مسؤول عن الكثير من نشاطه المضاد للبكتيريا القوي وواسع الطيف، حتى ضد مسببات الأمراض المقاومة للأدوية المتعددة. بالإضافة إلى هذين العاملين الأساسيين، يحتوي العسل على مجموعة متنوعة من البوليفينولات والفلافونويدات، والتي تساهم في نشاطه المضاد للأكسدة وقد يكون لها تأثيرات مضادة للميكروبات مباشرة. يُعدّ البي ديفنسين-1 ببتيد مضاد للميكروبات موجود في العسل يساهم أيضاً في قدرته على تعطيل الأغشية الخلوية البكتيرية. إن هذا المزيج من العوامل —الحموضة العالية، والضغط الارتكازي العالي، وبيروكسيد الهيدروجين، وMGO، والمواد الكيميائية النباتية الأخرى— يخلق بيئة معادية لمجموعة واسعة من الكائنات الدقيقة، مما يجعله فعالاً ضد التهابات الجروح والحروق.</w:t>
      </w:r>
    </w:p>
    <w:p>
      <w:pPr>
        <w:pStyle w:val="a0"/>
      </w:pPr>
      <w:r>
        <w:t xml:space="preserve">إن أحد أكثر الاستخدامات ثبوتاً للعسل الطبي هو في التئام الجروح. وأظهرت التجارب السريرية العشوائية فعاليته في تعزيز الشفاء وإدارة العدوى. جمعت دراسة مراقبة استطلاعية prospective تتضمن 10 مراكز طبية بيانات حول استخدام MedihoneyTM، وهو منتج عسل موحد، كعامل لالتئام الجروح. وذكرت تجربة سريرية عشوائية أخرى تحسناً كبيراً في التئام الجروح لدى المرضى المعالجين بالعسل مقارنة بمجموعة الضبط، مع ملاحظة معدلات شفاء أسرع. إن آلية العسل في رعاية الجروح متعددة الجوانب. إنه يطهر الجرح، ويحارب العدوى المحلية، ويعزز الإزالة الذاتية للأنسجة الميتة (autolytic debridement) —وهي العملية الطبيعية للجسم لتنظيف الجرح من خلال إذابة الأنسجة الميتة. وعلاوة على ذلك، يظهر العسل تأثيرات مضادة للالتهابات، والتي يمكن أن تساعد في تقليل التورم والألم، ويعزز تكوين الأنسجة الحبيبية، وهي ضرورية لإغلاق الجرح. وجدت تجربة سريرية عشوائية متعددة المراكز مفتوحة التسمية تقارن بين عسل المانوكا وهيدروجل لقرح الساق الوريدية المليئة بالقيح أن عسل المانوكا كان له فعالية متفوقة في إزالة القيح بعد أربعة أسابيع من العلاج. ومن المثير للاهتمام، أن تجربة تقارن بين عسل المانوكا وعسل توالانج وجدت أن عسل توالانج حفّز تكوين الأنسجة الحبيبية وأظهر فعلاً مفيداً في تعزيز التئام الجروح، والذي كان comparable إلى عسل المانوكا الأكثر تأسيساً، مما يشير إلى أن أنواع أخرى من العسل تمتلك أيضاً إمكانات علاجية كبيرة. بينما يكون العسل محتملاً بشكل عام، تم ملاحظة بعض الآثار الجانبية، بما في ذلك الحكة، والألم، والحرقان في نسبة صغيرة من المرضى.</w:t>
      </w:r>
    </w:p>
    <w:p>
      <w:pPr>
        <w:pStyle w:val="a0"/>
      </w:pPr>
      <w:r>
        <w:t xml:space="preserve">بجانب التطبيقات الموضعية، اكتسب العسل الاعتراف بفعاليته في إدارة السعال الليلي الحاد لدى الأطفال، وهو عرض شائع لالتهابات الجهاز التنفسي العلوي. وقد نظرت العديد من المراجعات المنظمة والتجارب السريرية العشوائية (RCTs) في فعاليته مقارنة بالدواء الوهمي والأدوية التقليدية للسعال. وجدت تجربة سريرية عشوائية عام 2010 تضمنت 139 طفلاً أن العسل كان متفوقاً قليلاً على الديكستروميثورفان، وهو مكون مضاد للسعال شائع في أدوية البرد والسعال. وتشير تحليلات أخرى إلى أن العسل فعال في علاج الأطفال فوق 12 شهراً. وخلصت مراجعة منظمة للتجارب إلى أن العسل يبدو أنه يقلل من تكرار السعال أكثر من الدواء الوهمي/عدم العلاج وأدوية السعال القياسية. وفي المقارنات المزدوجة، وجد أن العسل متفوق بشكل كبير على عدم العلاج في كل من تكرار السعال ودرجات الأعراض المجمعة. ومع ذلك، وجدت تجربة أخرى أنه بينما كان العسل أفضل من الدواء الوهمي، لم يكن متفوقاً بشكل كبير على الديكستروميثورفان في التحسن العام للأعراض. على الرغم من هذا التناقض الطفيف، فإن الأدلة الجماعية تدعم بقوة استخدام العسل كعلاج أول فعال وآمن للسعال لدى الأطفال. الآلية المقترحة لتأثيره المضاد للسعال يُعتقد أنها طلاء مهدئ للغشاء المخاطي البلعومي، على الرغم من أن آليات أخرى قد تكون أيضاً في اللعب. من المهم ملاحظة أنه يجب ألا يُعطى العسل أبداً للرضع دون 12 شهراً بسبب خطر التسمم بالبوتولينوم للرضع.</w:t>
      </w:r>
    </w:p>
    <w:p>
      <w:pPr>
        <w:pStyle w:val="a0"/>
      </w:pPr>
      <w:r>
        <w:t xml:space="preserve">يلخص الجدول التالي التطبيقات العلاجية الرئيسية وآليات العمل للعسل بناءً على الأدلة المقدمة:</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التطبيق العلاجي</w:t>
            </w:r>
          </w:p>
        </w:tc>
        <w:tc>
          <w:tcPr/>
          <w:p>
            <w:pPr>
              <w:pStyle w:val="Compact"/>
              <w:jc w:val="left"/>
            </w:pPr>
            <w:r>
              <w:t xml:space="preserve">المركبات الحيوية الرئيسية</w:t>
            </w:r>
          </w:p>
        </w:tc>
        <w:tc>
          <w:tcPr/>
          <w:p>
            <w:pPr>
              <w:pStyle w:val="Compact"/>
              <w:jc w:val="left"/>
            </w:pPr>
            <w:r>
              <w:t xml:space="preserve">الآليات المقترحة للعمل</w:t>
            </w:r>
          </w:p>
        </w:tc>
        <w:tc>
          <w:tcPr/>
          <w:p>
            <w:pPr>
              <w:pStyle w:val="Compact"/>
              <w:jc w:val="left"/>
            </w:pPr>
            <w:r>
              <w:t xml:space="preserve">ملخص الأدلة السريرية</w:t>
            </w:r>
          </w:p>
        </w:tc>
      </w:tr>
      <w:tr>
        <w:tc>
          <w:tcPr/>
          <w:p>
            <w:pPr>
              <w:pStyle w:val="Compact"/>
              <w:jc w:val="left"/>
            </w:pPr>
            <w:r>
              <w:t xml:space="preserve">التئام الجروح</w:t>
            </w:r>
          </w:p>
        </w:tc>
        <w:tc>
          <w:tcPr/>
          <w:p>
            <w:pPr>
              <w:pStyle w:val="Compact"/>
              <w:jc w:val="left"/>
            </w:pPr>
            <w:r>
              <w:t xml:space="preserve">بيروكسيد الهيدروجين، MGO، البوليفينولات، بي ديفنسين-1، حموضة عالية، ضغط ارتكازي عالي</w:t>
            </w:r>
          </w:p>
        </w:tc>
        <w:tc>
          <w:tcPr/>
          <w:p>
            <w:pPr>
              <w:pStyle w:val="Compact"/>
              <w:jc w:val="left"/>
            </w:pPr>
            <w:r>
              <w:t xml:space="preserve">التطهير، التأثيرات المضادة للالتهابات، تعزيز الإزالة الذاتية للأنسجة الميتة وتكوين الأنسجة الحبيبية، تعطيل الأغشية الحيوية</w:t>
            </w:r>
          </w:p>
        </w:tc>
        <w:tc>
          <w:tcPr/>
          <w:p>
            <w:pPr>
              <w:pStyle w:val="Compact"/>
              <w:jc w:val="left"/>
            </w:pPr>
            <w:r>
              <w:t xml:space="preserve">RCTs تظهر تحسناً كبيراً في التئام الجروح، مع تفوق عسل المانوكا في إزالة القيح. فعال ضد الكائنات المقاومة للأدوية المتعددة.</w:t>
            </w:r>
          </w:p>
        </w:tc>
      </w:tr>
      <w:tr>
        <w:tc>
          <w:tcPr/>
          <w:p>
            <w:pPr>
              <w:pStyle w:val="Compact"/>
              <w:jc w:val="left"/>
            </w:pPr>
            <w:r>
              <w:t xml:space="preserve">السعال الحاد (الأطفال)</w:t>
            </w:r>
          </w:p>
        </w:tc>
        <w:tc>
          <w:tcPr/>
          <w:p>
            <w:pPr>
              <w:pStyle w:val="Compact"/>
              <w:jc w:val="left"/>
            </w:pPr>
            <w:r>
              <w:t xml:space="preserve">القوام اللزج، المواد الكيميائية النباتية</w:t>
            </w:r>
          </w:p>
        </w:tc>
        <w:tc>
          <w:tcPr/>
          <w:p>
            <w:pPr>
              <w:pStyle w:val="Compact"/>
              <w:jc w:val="left"/>
            </w:pPr>
            <w:r>
              <w:t xml:space="preserve">تهدئة الغشاء المخاطي البلعومي، تأثيرات مضادة للالتهابات محتملة</w:t>
            </w:r>
          </w:p>
        </w:tc>
        <w:tc>
          <w:tcPr/>
          <w:p>
            <w:pPr>
              <w:pStyle w:val="Compact"/>
              <w:jc w:val="left"/>
            </w:pPr>
            <w:r>
              <w:t xml:space="preserve">المراجعات المنظمة وRCTs تظهر أن العسل فعال في علاج الأطفال فوق 12 شهراً. عامة متفوق على الدواء الوهمي وأحياناً على الديكستروميثورفان.</w:t>
            </w:r>
          </w:p>
        </w:tc>
      </w:tr>
      <w:tr>
        <w:tc>
          <w:tcPr/>
          <w:p>
            <w:pPr>
              <w:pStyle w:val="Compact"/>
              <w:jc w:val="left"/>
            </w:pPr>
            <w:r>
              <w:t xml:space="preserve">النشاط المضاد للميكروبات</w:t>
            </w:r>
          </w:p>
        </w:tc>
        <w:tc>
          <w:tcPr/>
          <w:p>
            <w:pPr>
              <w:pStyle w:val="Compact"/>
              <w:jc w:val="left"/>
            </w:pPr>
            <w:r>
              <w:t xml:space="preserve">بيروكسيد الهيدروجين، MGO، البوليفينولات، بي ديفنسين-1</w:t>
            </w:r>
          </w:p>
        </w:tc>
        <w:tc>
          <w:tcPr/>
          <w:p>
            <w:pPr>
              <w:pStyle w:val="Compact"/>
              <w:jc w:val="left"/>
            </w:pPr>
            <w:r>
              <w:t xml:space="preserve">تثبيط نمو البكتيريا مباشرة، تعطيل الأغشية الحيوية، إتلاف الأغشية الخلوية البكتيرية</w:t>
            </w:r>
          </w:p>
        </w:tc>
        <w:tc>
          <w:tcPr/>
          <w:p>
            <w:pPr>
              <w:pStyle w:val="Compact"/>
              <w:jc w:val="left"/>
            </w:pPr>
            <w:r>
              <w:t xml:space="preserve">فعال ضد مجموعة واسعة من المسببات المرضية، بما في ذلك السلالات المقاومة للمضادات الحيوية مثل MRSA. يمكن للعسل الطبي أن يحسن بشكل كبير من نتائج الجروح.</w:t>
            </w:r>
          </w:p>
        </w:tc>
      </w:tr>
    </w:tbl>
    <w:p>
      <w:pPr>
        <w:pStyle w:val="a0"/>
      </w:pPr>
      <w:r>
        <w:t xml:space="preserve">في الختام، تكون الاستخدامات العلاجية للعسل مدعومة بجسم قوي ومتزايد من الأدلة العلمية. إن فعاليته في التئام الجروح تعزى إلى مزيج تآثري من الخصائص المضادة للبكتيريا، والمضادة للالتهابات، وإعادة توليد الأنسجة، مدفوعة بمركبات مثل بيروكسيد الهيدروجين والميثيل جليوكسال. إن نجاحه في إدارة السعال الأطفالي يؤهله كبديل آمن وفعال للأدوية التقليدية. مع استمرار البحث، من المحتمل أن يتوسع التركيز نحو توحيد منتجات العسل لإشارات سريرية محددة واستكشاف الطيف الكامل لمركباته الحيوية. في الوقت الحالي، تشير الأدلة بوضوح إلى أن العسل النقي، العضوي، والطبي ليست مجرد متع غذائية بل أدوات قيّمة في ترسانة الطبيب لعلاج العدوى وإدارة الأمراض الشائعة.</w:t>
      </w:r>
    </w:p>
    <w:bookmarkEnd w:id="24"/>
    <w:bookmarkStart w:id="25" w:name="X6286bb79630780977afd55eb1035a4499b38290"/>
    <w:p>
      <w:pPr>
        <w:pStyle w:val="2"/>
      </w:pPr>
      <w:r>
        <w:t xml:space="preserve">الحدود الناشئة في التغذية: البوستبيوتيك، علم التخلق الجيني، والطب الدقيق</w:t>
      </w:r>
    </w:p>
    <w:p>
      <w:pPr>
        <w:pStyle w:val="FirstParagraph"/>
      </w:pPr>
      <w:r>
        <w:t xml:space="preserve">يمر مجال علوم التغذية بتحول نموذجي، متحركاً إلى ما وراء الإرشادات الغذائية العامة نحو فهم أكثر تمايزاً، آلية، وشخصية لكيفية تأثير الغذاء على صحة الإنسان. يقوم هذا القسم الأخير بتجميع النتائج الحديثة والغير عادية والاختراقية التي تتحدى الحكمة التقليدية وتفتح الطريق لعصر جديد من التغذية. ويستكشف صعود البوستبيوتيك، موضحاً بالاكتشاف لدور اليوروليثين أ في شيخوخة العضلات وصحة الميتوكوندريا. ويتعمق في مجال علم التخلق الجيني الغذائي المتنامي، باستخدام السولفورافان من براعم البروكلي كمثال رئيسي لمركب غذائي يمكن أن يؤثر مباشرة على التعبير الجيني لمنح فوائد وقائية من السرطان. وأخيراً، يفحص التطبيق العملي للتغذية الدقيقة، حيث يتم استغلال التباين الفردي في الاستجابات السكرية لإنشاء خطط غذائية مُصممة لإدارة حالات مثل السكري. تسلط هذه الحدود الضوء على تغيير جوهري في المنظور: من النظر إلى الغذاء كمجرد وقود إلى الاعتراف به كمُعدّل قوي للعمليات الخلوية والجينية، قادر على دفع تأثيرات علاجية كبيرة.</w:t>
      </w:r>
    </w:p>
    <w:p>
      <w:pPr>
        <w:pStyle w:val="a0"/>
      </w:pPr>
      <w:r>
        <w:t xml:space="preserve">إن أحد أكثر المفاهيم الناشئة إثارة هو التركيز على البوستبيوتيك —المركبات الحيوية المُنتجة من الميكروبات المعوية أثناء تخمير الألياف الغذائية. يمثل هذا تحولاً من البريبايوتيك (التي تُغذي البكتيريا المفيدة) إلى البوستبيوتيك (وهي الجزيئات المفيدة التي تُنتجها تلك البكتيريا). أبرز مثال على ذلك هو اليوروليثين أ، جزيء يُصنعه بعض البكتيريا المعوية من الإيلاجيتانينات الموجودة في الرمان والجوز. وكشفت التجارب السريرية البشرية الحديثة عن تأثيرات ملحوظة لمكملات اليوروليثين أ. وجدت تجربة رائدة نُشرت في Nature Aging أن التكميل اليومي بـ 1000 ملغ من اليوروليثين أ حفّز الميتوفاجيا —الإزالة الانتقائية للميتوكوندريا التالفة— في 28 يوماً فقط. هذه العملية حاسمة للحفاظ على الصحة الخلوية، حيث تتراكم الميتوكوندريا المعطلة مع العمر وتساهم في تدهور العضلات وأمراض مرتبطة بالشيخوخة أخرى. ولوحظت الدراسة نفسها أن تكميل اليوروليثين أ أدى إلى انعكاس شيخوخة الخلايا T، مما يشير إلى أنه يمكن أن يُجدد جهاز المناعة. وأكدت تجارب سريرية عشوائية أخرى أن التكميل طويل المدى باليوروليثين أ يحسن من تحمل العضلات والمؤشرات الحيوية في البلازما، مما يشير إلى أنه يمكن أن يُعاكس التدهور البدني المرتبط بالعمر. هذا الاكتشاف يحول فهمنا لكيفية استفادة الجوز والرمان من الصحة؛ ليس فقط بسبب أليافها أو محتواها المضاد للأكسدة المباشر، بل الجزيئات البوستبيوتيكية المحددة التي تمكن الميكروبيوم المعوي من إنتاجها.</w:t>
      </w:r>
    </w:p>
    <w:p>
      <w:pPr>
        <w:pStyle w:val="a0"/>
      </w:pPr>
      <w:r>
        <w:t xml:space="preserve">توازياً مع صعود البوستبيوتيك هو الفهم المتعمق لعلم التخلق الجيني الغذائي —دراسة كيف يمكن للعناصر الغذائية أن تغير التعبير الجيني دون تغيير تسلسل DNA نفسه. يُعدّ السولفورافان، المادة الكيميائية النباتية القوية الموجودة بوفرة في براعم البروكلي، مثالاً رائداً لمُعدّل وراثي تخلقي غذائي. تمتد فوائده الصحية إلى ما هو أبعد من نشاطه المضاد للأكسدة البسيط. السولفورافان هو مُنشط قوي لمسار Nrf2، وهو المنظم الرئيسي للاستجابة المضادة للأكسدة الخلوية. وقد أوضحت الأبحاث الآلية الدقيقة: السولفورافان يعزز إزالة الميثيل من منطقة المروج لجين Nrf2، والتي تفعل فعلاً</w:t>
      </w:r>
      <w:r>
        <w:t xml:space="preserve"> </w:t>
      </w:r>
      <w:r>
        <w:t xml:space="preserve">“</w:t>
      </w:r>
      <w:r>
        <w:t xml:space="preserve">تفتح</w:t>
      </w:r>
      <w:r>
        <w:t xml:space="preserve">”</w:t>
      </w:r>
      <w:r>
        <w:t xml:space="preserve"> </w:t>
      </w:r>
      <w:r>
        <w:t xml:space="preserve">أو تنشط تعبيره. يؤدي النشاط المتزايد لـ Nrf2 إلى تنظيم صعودي لسلسلة من الجينات الواقية التي تحارب الإجهاد التأكسدي، وتقلل الالتهاب، وتساعد في إزالة السموم. إن هذا التنظيم التخلقي الجيني لـ Nrf2 بواسطة مركبات غذائية مثل السولفورافان يوفر تفسيراً آلياً مقنعاً لخصائصه المضادة للسرطان الملاحظة وإمكاناته في الحماية من مجموعة واسعة من الأمراض المزمنة، من اعتلال عضلة القلب إلى التليف المستحث بالإشعاع. يُظهر هذا المجال أن ما نأكله يمكن أن يُعيد ضبط تعليماتنا الجينية حرفياً في الوقت الفعلي.</w:t>
      </w:r>
    </w:p>
    <w:p>
      <w:pPr>
        <w:pStyle w:val="a0"/>
      </w:pPr>
      <w:r>
        <w:t xml:space="preserve">تتقاطع هذه الاكتشافات على مفهوم التغذية الدقيقة، والذي يرفض النصيحة الغذائية</w:t>
      </w:r>
      <w:r>
        <w:t xml:space="preserve"> </w:t>
      </w:r>
      <w:r>
        <w:t xml:space="preserve">“</w:t>
      </w:r>
      <w:r>
        <w:t xml:space="preserve">الموحدة لجميع</w:t>
      </w:r>
      <w:r>
        <w:t xml:space="preserve">”</w:t>
      </w:r>
      <w:r>
        <w:t xml:space="preserve"> </w:t>
      </w:r>
      <w:r>
        <w:t xml:space="preserve">في الماضي. الرؤية الأساسية لهذه الحركة هي التباين البينفردي العميق في الاستجابات الفسيولوجية للأغذية المتطابقة. وأظهرت دراسة رائدة أن الاستجابات السكرية بعد الأكل (PPGRs) للوجبات الكربوهيدراتية تختلف بشكل كبير بين الأفراد، وأن هذه الاستجابات مرتبطة بملامح أيضية وجزيئية مميزة. وهذا يعني أن غذاءً يرفع سكر الدم لشخص ما قد يكون له تأثير ضئيل على آخر. يتم تطبيق هذا المبدأ سريرياً، وخاصة في إدارة السكري من النوع 2. وقد طور الباحثون نماذج تنبؤ شخصية لـ PPGR التي تدمج تركيبة الميكروبيوم للفرد، وعوامل نمط الحياة، وغيرها من المؤشرات الحيوية. وتم التحقق منها من خلال RCTs، وأثبتت هذه النهج الشخصية أنها أكثر فعالية في إدارة المؤشرات الأيضية مثل HbA1c من الإرشادات الغذائية العامة. ويسمح استخدام أجهزة مراقبة الجلوكوز المستمرة (CGMs) للأفراد بتتبع استجاباتهم السكرية تجاه أغذية محددة بشكل تجريبي، مما يمكنهم من بناء نظام غذائي حقاً شخصي يحسن صحتهم الأيضية. هذا التوجه نحو التخصيص هو التركيب النهائي للمواضيع المستكشفة في هذا التقرير: فهم المكونات المحددة للغذاء (مثل الألياف أو المواد الكيميائية النباتية)، وآليات عملها (على الميكروبيوم، على المسارات التخلقية الجينية)، وتطبيق هذه المعرفة ضمن السياق البيولوجي الفريد للفرد.</w:t>
      </w:r>
    </w:p>
    <w:bookmarkEnd w:id="25"/>
    <w:bookmarkEnd w:id="26"/>
    <w:bookmarkStart w:id="27" w:name="المراجع"/>
    <w:p>
      <w:pPr>
        <w:pStyle w:val="1"/>
      </w:pPr>
      <w:r>
        <w:t xml:space="preserve">المراجع</w:t>
      </w:r>
    </w:p>
    <w:p>
      <w:pPr>
        <w:pStyle w:val="Compact"/>
        <w:numPr>
          <w:ilvl w:val="0"/>
          <w:numId w:val="1002"/>
        </w:numPr>
      </w:pPr>
      <w:r>
        <w:t xml:space="preserve">دور اليود الغذائي والخضروات الصليبية في سرطان الغدة الدرقية: https://pmc.ncbi.nlm.nih.gov/articles/PMC3496161/</w:t>
      </w:r>
    </w:p>
    <w:p>
      <w:pPr>
        <w:pStyle w:val="Compact"/>
        <w:numPr>
          <w:ilvl w:val="0"/>
          <w:numId w:val="1002"/>
        </w:numPr>
      </w:pPr>
      <w:r>
        <w:t xml:space="preserve">الخضروات الصليبية والغدة الدرقية: أصدقاء أم أعداء؟: https://www.researchgate.net/publication/324482589</w:t>
      </w:r>
    </w:p>
    <w:p>
      <w:pPr>
        <w:pStyle w:val="Compact"/>
        <w:numPr>
          <w:ilvl w:val="0"/>
          <w:numId w:val="1002"/>
        </w:numPr>
      </w:pPr>
      <w:r>
        <w:t xml:space="preserve">الأغذية الغويتروجينية وصحة الغدة الدرقية - معهد Kresser: https://kresserinstitute.com/goitrogenic-foods-and-thyroid-health/</w:t>
      </w:r>
    </w:p>
    <w:p>
      <w:pPr>
        <w:pStyle w:val="Compact"/>
        <w:numPr>
          <w:ilvl w:val="0"/>
          <w:numId w:val="1002"/>
        </w:numPr>
      </w:pPr>
      <w:r>
        <w:t xml:space="preserve">الإدارة التغذوية للمرضى تحت علاج الوارفارين: https://www.researchgate.net/publication/394085032</w:t>
      </w:r>
    </w:p>
    <w:p>
      <w:pPr>
        <w:pStyle w:val="Compact"/>
        <w:numPr>
          <w:ilvl w:val="0"/>
          <w:numId w:val="1002"/>
        </w:numPr>
      </w:pPr>
      <w:r>
        <w:t xml:space="preserve">فرط التخثر المستحث بالكاكا في مريض…: https://pmc.ncbi.nlm.nih.gov/articles/PMC12975248/</w:t>
      </w:r>
    </w:p>
    <w:p>
      <w:pPr>
        <w:pStyle w:val="Compact"/>
        <w:numPr>
          <w:ilvl w:val="0"/>
          <w:numId w:val="1002"/>
        </w:numPr>
      </w:pPr>
      <w:r>
        <w:t xml:space="preserve">دعم الاستخدام الآمن للتخثر في المجتمع: https://www.uspharmacist.com/article/supporting-safe-anticoagulation-use-in-the-community-setting-1</w:t>
      </w:r>
    </w:p>
    <w:p>
      <w:pPr>
        <w:pStyle w:val="Compact"/>
        <w:numPr>
          <w:ilvl w:val="0"/>
          <w:numId w:val="1002"/>
        </w:numPr>
      </w:pPr>
      <w:r>
        <w:t xml:space="preserve">مضادات التخثر الفموية القديمة والجديدة: الغذاء، الأدوية العشبية والدواء…: https://www.sciencedirect.com/science/article/pii/S0268960X16300352</w:t>
      </w:r>
    </w:p>
    <w:p>
      <w:pPr>
        <w:pStyle w:val="Compact"/>
        <w:numPr>
          <w:ilvl w:val="0"/>
          <w:numId w:val="1002"/>
        </w:numPr>
      </w:pPr>
      <w:r>
        <w:t xml:space="preserve">أكسالات الغذاء: العوامل المؤثرة في القياس، التباين البيولوجي…: https://www.researchgate.net/publication/6232385</w:t>
      </w:r>
    </w:p>
    <w:p>
      <w:pPr>
        <w:pStyle w:val="Compact"/>
        <w:numPr>
          <w:ilvl w:val="0"/>
          <w:numId w:val="1002"/>
        </w:numPr>
      </w:pPr>
      <w:r>
        <w:t xml:space="preserve">تأثير الأحماض الدهنية الغذائية على الاستجابات المناعية: https://pmc.ncbi.nlm.nih.gov/articles/PMC6950146/</w:t>
      </w:r>
    </w:p>
    <w:p>
      <w:pPr>
        <w:pStyle w:val="Compact"/>
        <w:numPr>
          <w:ilvl w:val="0"/>
          <w:numId w:val="1002"/>
        </w:numPr>
      </w:pPr>
      <w:r>
        <w:t xml:space="preserve">نظام غذائي إقصائي شخصي للمرضى المصابين بأمراض المناعة الذاتية: https://www.sciencedirect.com/science/article/pii/S2589936824000744</w:t>
      </w:r>
    </w:p>
    <w:p>
      <w:pPr>
        <w:pStyle w:val="Compact"/>
        <w:numPr>
          <w:ilvl w:val="0"/>
          <w:numId w:val="1002"/>
        </w:numPr>
      </w:pPr>
      <w:r>
        <w:t xml:space="preserve">الميكروبيوم الفموي وتأثيره على كل نظام آخر في الجسم: https://askthedentist.com/oral-microbiome/</w:t>
      </w:r>
    </w:p>
    <w:p>
      <w:pPr>
        <w:pStyle w:val="Compact"/>
        <w:numPr>
          <w:ilvl w:val="0"/>
          <w:numId w:val="1002"/>
        </w:numPr>
      </w:pPr>
      <w:r>
        <w:t xml:space="preserve">الآليات المحتملة للسمنة في دعم صحة العظام والمفاصل: https://www.researchgate.net/publication/384230974</w:t>
      </w:r>
    </w:p>
    <w:p>
      <w:pPr>
        <w:pStyle w:val="Compact"/>
        <w:numPr>
          <w:ilvl w:val="0"/>
          <w:numId w:val="1002"/>
        </w:numPr>
      </w:pPr>
      <w:r>
        <w:t xml:space="preserve">العسل كمنتج طبيعي نكهة: مراجعة شاملة: https://onlinelibrary.wiley.com/doi/10.1002/fsn3.71645</w:t>
      </w:r>
    </w:p>
    <w:p>
      <w:pPr>
        <w:pStyle w:val="Compact"/>
        <w:numPr>
          <w:ilvl w:val="0"/>
          <w:numId w:val="1002"/>
        </w:numPr>
      </w:pPr>
      <w:r>
        <w:t xml:space="preserve">الخصائص المضادة للميكروبات لمنتجات الخلية وإمكاناتها: https://pdfs.semanticscholar.org/2b05/2f6b72ecce00da8d75689ca991628a212d84.pdf</w:t>
      </w:r>
    </w:p>
    <w:p>
      <w:pPr>
        <w:pStyle w:val="Compact"/>
        <w:numPr>
          <w:ilvl w:val="0"/>
          <w:numId w:val="1002"/>
        </w:numPr>
      </w:pPr>
      <w:r>
        <w:t xml:space="preserve">تحليل التركيب المضاد للميكروبات للعسل: https://www.academia.edu/56723206</w:t>
      </w:r>
    </w:p>
    <w:p>
      <w:pPr>
        <w:pStyle w:val="Compact"/>
        <w:numPr>
          <w:ilvl w:val="0"/>
          <w:numId w:val="1002"/>
        </w:numPr>
      </w:pPr>
      <w:r>
        <w:t xml:space="preserve">النشاط المضاد للبكتيريا والعوامل المؤثرة: https://atrium.lib.uoguelph.ca/bitstreams/4aa6a313-7c15-43ca-a4ff-13020faf7f81/download</w:t>
      </w:r>
    </w:p>
    <w:p>
      <w:pPr>
        <w:pStyle w:val="Compact"/>
        <w:numPr>
          <w:ilvl w:val="0"/>
          <w:numId w:val="1002"/>
        </w:numPr>
      </w:pPr>
      <w:r>
        <w:t xml:space="preserve">هيدروجل البكتين-العسل: التوصيف، النشاط المضاد للميكروبات: https://core.ac.uk/download/pdf/302246559.pdf</w:t>
      </w:r>
    </w:p>
    <w:p>
      <w:pPr>
        <w:pStyle w:val="Compact"/>
        <w:numPr>
          <w:ilvl w:val="0"/>
          <w:numId w:val="1002"/>
        </w:numPr>
      </w:pPr>
      <w:r>
        <w:t xml:space="preserve">هيدروجل البكتين-العسل: التوصيف، النشاط المضاد للميكروبات: https://journals.sagepub.com/doi/10.3233/BME-181730</w:t>
      </w:r>
    </w:p>
    <w:p>
      <w:pPr>
        <w:pStyle w:val="Compact"/>
        <w:numPr>
          <w:ilvl w:val="0"/>
          <w:numId w:val="1002"/>
        </w:numPr>
      </w:pPr>
      <w:r>
        <w:t xml:space="preserve">تأثير أحماض أوميغا-3 الدهنية على الميكروبيوتا المعوية: https://pmc.ncbi.nlm.nih.gov/articles/…</w:t>
      </w:r>
    </w:p>
    <w:p>
      <w:pPr>
        <w:pStyle w:val="Compact"/>
        <w:numPr>
          <w:ilvl w:val="0"/>
          <w:numId w:val="1002"/>
        </w:numPr>
      </w:pPr>
      <w:r>
        <w:t xml:space="preserve">أوميغا-3 والأحماض الدهنية المترافقة وتأثيرها على الميكروبيوتا البشرية: https://www.sciencedirect.com/science/article/abs/pii/S0261561425001013</w:t>
      </w:r>
    </w:p>
    <w:p>
      <w:pPr>
        <w:pStyle w:val="Compact"/>
        <w:numPr>
          <w:ilvl w:val="0"/>
          <w:numId w:val="1002"/>
        </w:numPr>
      </w:pPr>
      <w:r>
        <w:t xml:space="preserve">تأثير المكونات الغذائية على نفاذية الأمعاء في الصحة: https://pmc.ncbi.nlm.nih.gov/articles/PMC8087346/</w:t>
      </w:r>
    </w:p>
    <w:p>
      <w:pPr>
        <w:pStyle w:val="Compact"/>
        <w:numPr>
          <w:ilvl w:val="0"/>
          <w:numId w:val="1002"/>
        </w:numPr>
      </w:pPr>
      <w:r>
        <w:t xml:space="preserve">تأثير الأنماط الغذائية على الميكروبيوم المعوي البشري: https://faseb.onlinelibrary.wiley.com/doi/10.1096/fj.202502040R</w:t>
      </w:r>
    </w:p>
    <w:p>
      <w:pPr>
        <w:pStyle w:val="Compact"/>
        <w:numPr>
          <w:ilvl w:val="0"/>
          <w:numId w:val="1002"/>
        </w:numPr>
      </w:pPr>
      <w:r>
        <w:t xml:space="preserve">التأثيرات الغذائية على الميكروبيوتا المعوية ودورها في الأيض: https://www.mdpi.com/2072-6643/17/1/143</w:t>
      </w:r>
    </w:p>
    <w:p>
      <w:pPr>
        <w:pStyle w:val="Compact"/>
        <w:numPr>
          <w:ilvl w:val="0"/>
          <w:numId w:val="1002"/>
        </w:numPr>
      </w:pPr>
      <w:r>
        <w:t xml:space="preserve">التأثيرات السلبية للنظام الغذائي عالي الدهون على نفاذية الأمعاء: https://www.sciencedirect.com/science/article/pii/S216183132200237X</w:t>
      </w:r>
    </w:p>
    <w:p>
      <w:pPr>
        <w:pStyle w:val="Compact"/>
        <w:numPr>
          <w:ilvl w:val="0"/>
          <w:numId w:val="1002"/>
        </w:numPr>
      </w:pPr>
      <w:r>
        <w:t xml:space="preserve">تكميل الأحماض الصفراوية يُعدّل الأيض الدهني، الأمعاء…: https://www.frontiersin.org/journals/microbiology/articles/10.3389/fmicb.2023.1185218/full</w:t>
      </w:r>
    </w:p>
    <w:p>
      <w:pPr>
        <w:pStyle w:val="Compact"/>
        <w:numPr>
          <w:ilvl w:val="0"/>
          <w:numId w:val="1002"/>
        </w:numPr>
      </w:pPr>
      <w:r>
        <w:t xml:space="preserve">النظام الغذائي والميكروبيوم المعوي البشري: مراجعة دولية: https://pmc.ncbi.nlm.nih.gov/articles/PMC7117800/</w:t>
      </w:r>
    </w:p>
    <w:p>
      <w:pPr>
        <w:pStyle w:val="Compact"/>
        <w:numPr>
          <w:ilvl w:val="0"/>
          <w:numId w:val="1002"/>
        </w:numPr>
      </w:pPr>
      <w:r>
        <w:t xml:space="preserve">الميكروبيوتا المعوية، نفاذية الأمعاء، والالتهاب الجهازي: https://link.springer.com/article/10.1007/s11739-023-03374-w</w:t>
      </w:r>
    </w:p>
    <w:p>
      <w:pPr>
        <w:pStyle w:val="Compact"/>
        <w:numPr>
          <w:ilvl w:val="0"/>
          <w:numId w:val="1002"/>
        </w:numPr>
      </w:pPr>
      <w:r>
        <w:t xml:space="preserve">نظام غذائي غني بحمض اللينوليك يُخلّ بتوازن الأمعاء: https://www.tandfonline.com/doi/full/10.1080/19490976.2023.2229945</w:t>
      </w:r>
    </w:p>
    <w:p>
      <w:pPr>
        <w:pStyle w:val="Compact"/>
        <w:numPr>
          <w:ilvl w:val="0"/>
          <w:numId w:val="1002"/>
        </w:numPr>
      </w:pPr>
      <w:r>
        <w:t xml:space="preserve">تجربة عشوائية لزيت جوز الهند، زيت الزيتون أو الزبدة على دهون الدم: https://pmc.ncbi.nlm.nih.gov/articles/PMC5855206/</w:t>
      </w:r>
    </w:p>
    <w:p>
      <w:pPr>
        <w:pStyle w:val="Compact"/>
        <w:numPr>
          <w:ilvl w:val="0"/>
          <w:numId w:val="1002"/>
        </w:numPr>
      </w:pPr>
      <w:r>
        <w:t xml:space="preserve">هل هناك المزيد في زيت الزيتون غير الدهون الصحية؟: https://pmc.ncbi.nlm.nih.gov/articles/PMC10459315/</w:t>
      </w:r>
    </w:p>
    <w:p>
      <w:pPr>
        <w:pStyle w:val="Compact"/>
        <w:numPr>
          <w:ilvl w:val="0"/>
          <w:numId w:val="1002"/>
        </w:numPr>
      </w:pPr>
      <w:r>
        <w:t xml:space="preserve">وجهة نظر أخصائي أمراض القلب للإرشادات الغذائية 2025–2030: https://www.researchgate.net/publication/400116572</w:t>
      </w:r>
    </w:p>
    <w:p>
      <w:pPr>
        <w:pStyle w:val="Compact"/>
        <w:numPr>
          <w:ilvl w:val="0"/>
          <w:numId w:val="1002"/>
        </w:numPr>
      </w:pPr>
      <w:r>
        <w:t xml:space="preserve">المعرفة، والمواقف، والسلوكيات حول الدهون الغذائية: https://www.mdpi.com/2072-6643/16/14/2185</w:t>
      </w:r>
    </w:p>
    <w:p>
      <w:pPr>
        <w:pStyle w:val="Compact"/>
        <w:numPr>
          <w:ilvl w:val="0"/>
          <w:numId w:val="1002"/>
        </w:numPr>
      </w:pPr>
      <w:r>
        <w:t xml:space="preserve">تحسين الأنماط الغذائية ونمط الحياة لتقليل التصلب العصيدي: https://www.sciencedirect.com/science/article/pii/S0002914923004757</w:t>
      </w:r>
    </w:p>
    <w:p>
      <w:pPr>
        <w:pStyle w:val="Compact"/>
        <w:numPr>
          <w:ilvl w:val="0"/>
          <w:numId w:val="1002"/>
        </w:numPr>
      </w:pPr>
      <w:r>
        <w:t xml:space="preserve">مسببات حساسية الأغذية الشائعة والارتباط التفاعلي: https://pmc.ncbi.nlm.nih.gov/articles/PMC11250430/</w:t>
      </w:r>
    </w:p>
    <w:p>
      <w:pPr>
        <w:pStyle w:val="Compact"/>
        <w:numPr>
          <w:ilvl w:val="0"/>
          <w:numId w:val="1002"/>
        </w:numPr>
      </w:pPr>
      <w:r>
        <w:t xml:space="preserve">حساسية الفول السوداني: نظرة على تخفيفها: https://pmc.ncbi.nlm.nih.gov/articles/PMC10048206/</w:t>
      </w:r>
    </w:p>
    <w:p>
      <w:pPr>
        <w:pStyle w:val="Compact"/>
        <w:numPr>
          <w:ilvl w:val="0"/>
          <w:numId w:val="1002"/>
        </w:numPr>
      </w:pPr>
      <w:r>
        <w:t xml:space="preserve">الأنظمة الغذائية النباتية والمواد الكيميائية النباتية في إدارة…: https://pmc.ncbi.nlm.nih.gov/articles/…</w:t>
      </w:r>
    </w:p>
    <w:p>
      <w:pPr>
        <w:pStyle w:val="Compact"/>
        <w:numPr>
          <w:ilvl w:val="0"/>
          <w:numId w:val="1002"/>
        </w:numPr>
      </w:pPr>
      <w:r>
        <w:t xml:space="preserve">مدى صحة البروتينات الغذائية غير التقليدية؟ تأثير…: https://…</w:t>
      </w:r>
    </w:p>
    <w:p>
      <w:pPr>
        <w:pStyle w:val="Compact"/>
        <w:numPr>
          <w:ilvl w:val="0"/>
          <w:numId w:val="1002"/>
        </w:numPr>
      </w:pPr>
      <w:r>
        <w:t xml:space="preserve">هل العسل أفضل من الديكستروميثورفان في تقليل السعال الحاد؟: https://…</w:t>
      </w:r>
    </w:p>
    <w:p>
      <w:pPr>
        <w:pStyle w:val="Compact"/>
        <w:numPr>
          <w:ilvl w:val="0"/>
          <w:numId w:val="1002"/>
        </w:numPr>
      </w:pPr>
      <w:r>
        <w:t xml:space="preserve">العسل للسعال الحاد لدى الأطفال — مراجعة منظمة: https://pmc.ncbi.nlm.nih.gov/articles/…</w:t>
      </w:r>
    </w:p>
    <w:p>
      <w:pPr>
        <w:pStyle w:val="Compact"/>
        <w:numPr>
          <w:ilvl w:val="0"/>
          <w:numId w:val="1002"/>
        </w:numPr>
      </w:pPr>
      <w:r>
        <w:t xml:space="preserve">مقارنة فعالية استهلاك العسل مع الأدوية المضادة: https://…</w:t>
      </w:r>
    </w:p>
    <w:p>
      <w:pPr>
        <w:pStyle w:val="Compact"/>
        <w:numPr>
          <w:ilvl w:val="0"/>
          <w:numId w:val="1002"/>
        </w:numPr>
      </w:pPr>
      <w:r>
        <w:t xml:space="preserve">فعالية العسل للتخفيف العرضي في الجهاز التنفسي العلوي: https://…</w:t>
      </w:r>
    </w:p>
    <w:p>
      <w:pPr>
        <w:pStyle w:val="Compact"/>
        <w:numPr>
          <w:ilvl w:val="0"/>
          <w:numId w:val="1002"/>
        </w:numPr>
      </w:pPr>
      <w:r>
        <w:t xml:space="preserve">تأثير العسل، والديكستروميثورفان، وعدم العلاج على السعال الليلي: https://www.researchgate.net/publication/5790783</w:t>
      </w:r>
    </w:p>
    <w:p>
      <w:pPr>
        <w:pStyle w:val="Compact"/>
        <w:numPr>
          <w:ilvl w:val="0"/>
          <w:numId w:val="1002"/>
        </w:numPr>
      </w:pPr>
      <w:r>
        <w:t xml:space="preserve">استهلاك المكسرات والبذور والنتائج الصحية بما في ذلك…: https://…</w:t>
      </w:r>
    </w:p>
    <w:p>
      <w:pPr>
        <w:pStyle w:val="Compact"/>
        <w:numPr>
          <w:ilvl w:val="0"/>
          <w:numId w:val="1002"/>
        </w:numPr>
      </w:pPr>
      <w:r>
        <w:t xml:space="preserve">الدور المتزايد للمكسرات والبذور في صحة الإنسان: https://www.researchgate.net/publication/357658635</w:t>
      </w:r>
    </w:p>
    <w:p>
      <w:pPr>
        <w:pStyle w:val="Compact"/>
        <w:numPr>
          <w:ilvl w:val="0"/>
          <w:numId w:val="1002"/>
        </w:numPr>
      </w:pPr>
      <w:r>
        <w:t xml:space="preserve">الآليات الكامنة وراء الاستجابة الحساسية الغذائية التفاضلية للسخونة: https://…</w:t>
      </w:r>
    </w:p>
    <w:p>
      <w:pPr>
        <w:pStyle w:val="Compact"/>
        <w:numPr>
          <w:ilvl w:val="0"/>
          <w:numId w:val="1002"/>
        </w:numPr>
      </w:pPr>
      <w:r>
        <w:t xml:space="preserve">تأثير التغيّر الحراري لبروتينات بياض البيض الأوفالبومين والأوفوميوكويد: https://…</w:t>
      </w:r>
    </w:p>
    <w:p>
      <w:pPr>
        <w:pStyle w:val="Compact"/>
        <w:numPr>
          <w:ilvl w:val="0"/>
          <w:numId w:val="1002"/>
        </w:numPr>
      </w:pPr>
      <w:r>
        <w:t xml:space="preserve">التعرف على الأشكال الأصلية و/أو المتغيرة حرارياً: https://…</w:t>
      </w:r>
    </w:p>
    <w:p>
      <w:pPr>
        <w:pStyle w:val="Compact"/>
        <w:numPr>
          <w:ilvl w:val="0"/>
          <w:numId w:val="1002"/>
        </w:numPr>
      </w:pPr>
      <w:r>
        <w:t xml:space="preserve">مسببات حساسية البيض المعالجة بالحرارة تظهر تنشيطاً أقل للخلايا القاعدية: https://pmc.ncbi.nlm.nih.gov/articles/…</w:t>
      </w:r>
    </w:p>
    <w:p>
      <w:pPr>
        <w:pStyle w:val="Compact"/>
        <w:numPr>
          <w:ilvl w:val="0"/>
          <w:numId w:val="1002"/>
        </w:numPr>
      </w:pPr>
      <w:r>
        <w:t xml:space="preserve">التحمل للبيض المسخن في حساسية البيض: تفسيرات و…: https://…</w:t>
      </w:r>
    </w:p>
    <w:p>
      <w:pPr>
        <w:pStyle w:val="Compact"/>
        <w:numPr>
          <w:ilvl w:val="0"/>
          <w:numId w:val="1002"/>
        </w:numPr>
      </w:pPr>
      <w:r>
        <w:t xml:space="preserve">تأثير المعالجة الحرارية على الأوفوميوكويد لبيض الدجاج: https://www.researchgate.net/publication/222194620</w:t>
      </w:r>
    </w:p>
    <w:p>
      <w:pPr>
        <w:pStyle w:val="Compact"/>
        <w:numPr>
          <w:ilvl w:val="0"/>
          <w:numId w:val="1002"/>
        </w:numPr>
      </w:pPr>
      <w:r>
        <w:t xml:space="preserve">برنامج الأغذية البشرية - أولويات تسليم 2026: https://www.fda.gov/about-fda/human-foods-program/human-foods-program-2026-priority-deliverables</w:t>
      </w:r>
    </w:p>
    <w:p>
      <w:pPr>
        <w:pStyle w:val="Compact"/>
        <w:numPr>
          <w:ilvl w:val="0"/>
          <w:numId w:val="1002"/>
        </w:numPr>
      </w:pPr>
      <w:r>
        <w:t xml:space="preserve">حظر الصين على إضافات الأعلاف الفينيلارسونيك: https://…</w:t>
      </w:r>
    </w:p>
    <w:p>
      <w:pPr>
        <w:pStyle w:val="Compact"/>
        <w:numPr>
          <w:ilvl w:val="0"/>
          <w:numId w:val="1002"/>
        </w:numPr>
      </w:pPr>
      <w:r>
        <w:t xml:space="preserve">مراجعة قانون الغذاء الصيني لعام 2024: https://www.lexology.com/library/detail.aspx?g=5ca12346-9634-4243-9464-880f6294ea63</w:t>
      </w:r>
    </w:p>
    <w:p>
      <w:pPr>
        <w:pStyle w:val="Compact"/>
        <w:numPr>
          <w:ilvl w:val="0"/>
          <w:numId w:val="1002"/>
        </w:numPr>
      </w:pPr>
      <w:r>
        <w:t xml:space="preserve">مراجعة التنظيم الغذائي لتخليق البيوتيرات في الأمعاء: https://www.mdpi.com/2304-8158/14/21/3649</w:t>
      </w:r>
    </w:p>
    <w:p>
      <w:pPr>
        <w:pStyle w:val="Compact"/>
        <w:numPr>
          <w:ilvl w:val="0"/>
          <w:numId w:val="1002"/>
        </w:numPr>
      </w:pPr>
      <w:r>
        <w:t xml:space="preserve">الدور العلاجي للأحماض الدهنية قصيرة السلسلة: https://pmc.ncbi.nlm.nih.gov/articles/PMC9572225</w:t>
      </w:r>
    </w:p>
    <w:p>
      <w:pPr>
        <w:pStyle w:val="Compact"/>
        <w:numPr>
          <w:ilvl w:val="0"/>
          <w:numId w:val="1002"/>
        </w:numPr>
      </w:pPr>
      <w:r>
        <w:t xml:space="preserve">السولفورافان من البروكلي، مُعدّل وراثي تخلقي في خلايا السرطان: https://pmc.ncbi.nlm.nih.gov/articles/PMC12508370/</w:t>
      </w:r>
    </w:p>
    <w:p>
      <w:pPr>
        <w:pStyle w:val="Compact"/>
        <w:numPr>
          <w:ilvl w:val="0"/>
          <w:numId w:val="1002"/>
        </w:numPr>
      </w:pPr>
      <w:r>
        <w:t xml:space="preserve">السولفورافان ينظم النشاط المضاد للأكسدة المُتوسط بواسطة Nrf2: https://www.sciencedirect.com/science/article/abs/pii/S0024320522008979</w:t>
      </w:r>
    </w:p>
    <w:p>
      <w:pPr>
        <w:pStyle w:val="Compact"/>
        <w:numPr>
          <w:ilvl w:val="0"/>
          <w:numId w:val="1002"/>
        </w:numPr>
      </w:pPr>
      <w:r>
        <w:t xml:space="preserve">اعتلال عضلة القلب المستحث بالأنجيوتنسين II بواسطة تنشيط Nrf2: https://onlinelibrary.wiley.com/doi/pdf/10.1111/jcmm.16504</w:t>
      </w:r>
    </w:p>
    <w:p>
      <w:pPr>
        <w:pStyle w:val="Compact"/>
        <w:numPr>
          <w:ilvl w:val="0"/>
          <w:numId w:val="1002"/>
        </w:numPr>
      </w:pPr>
      <w:r>
        <w:t xml:space="preserve">السولفورافان يمنع اعتلال عضلة القلب المستحث بالأنجيوتنسين II: https://pmc.ncbi.nlm.nih.gov/articles/PMC8093985/</w:t>
      </w:r>
    </w:p>
    <w:p>
      <w:pPr>
        <w:pStyle w:val="Compact"/>
        <w:numPr>
          <w:ilvl w:val="0"/>
          <w:numId w:val="1002"/>
        </w:numPr>
      </w:pPr>
      <w:r>
        <w:t xml:space="preserve">التكميل الغذائي بالسولفورافان يحسن من شيخوخة الجلد: https://www.sciencedirect.com/science/article/abs/pii/S0955286321002370</w:t>
      </w:r>
    </w:p>
    <w:p>
      <w:pPr>
        <w:pStyle w:val="Compact"/>
        <w:numPr>
          <w:ilvl w:val="0"/>
          <w:numId w:val="1002"/>
        </w:numPr>
      </w:pPr>
      <w:r>
        <w:t xml:space="preserve">تأثير مُحفّز الميتوفاجيا اليوروليثين أ على الشيخوخة المناعية المرتبطة بالعمر: https://www.nature.com/articles/s43587-025-00996-x</w:t>
      </w:r>
    </w:p>
    <w:p>
      <w:pPr>
        <w:pStyle w:val="Compact"/>
        <w:numPr>
          <w:ilvl w:val="0"/>
          <w:numId w:val="1002"/>
        </w:numPr>
      </w:pPr>
      <w:r>
        <w:t xml:space="preserve">اليوروليثين أ يحسن من قوة العضلات، وأداء التمارين، و…: https://pmc.ncbi.nlm.nih.gov/articles/PMC9133463/</w:t>
      </w:r>
    </w:p>
    <w:p>
      <w:pPr>
        <w:pStyle w:val="Compact"/>
        <w:numPr>
          <w:ilvl w:val="0"/>
          <w:numId w:val="1002"/>
        </w:numPr>
      </w:pPr>
      <w:r>
        <w:t xml:space="preserve">أدلة ناشئة على اليوروليثين أ في تغذية الرياضة: https://www.frontiersin.org/journals/nutrition/articles/10.3389/fnut.2025.1585922/full</w:t>
      </w:r>
    </w:p>
    <w:p>
      <w:pPr>
        <w:pStyle w:val="Compact"/>
        <w:numPr>
          <w:ilvl w:val="0"/>
          <w:numId w:val="1002"/>
        </w:numPr>
      </w:pPr>
      <w:r>
        <w:t xml:space="preserve">اليوروليثين أ كعامل محتمل للوقاية من الأمراض المرتبطة بالعمر: https://pmc.ncbi.nlm.nih.gov/articles/PMC10460156/</w:t>
      </w:r>
    </w:p>
    <w:p>
      <w:pPr>
        <w:pStyle w:val="Compact"/>
        <w:numPr>
          <w:ilvl w:val="0"/>
          <w:numId w:val="1002"/>
        </w:numPr>
      </w:pPr>
      <w:r>
        <w:t xml:space="preserve">تحديث جرعة اليوروليثين أ: نتائج تجارب بشرية جديدة: https://www.linkedin.com/posts/murphysmedicine_a-change-in-urolithin-a-dosing-what-th-activity-7390405008212783104-u8NV</w:t>
      </w:r>
    </w:p>
    <w:p>
      <w:pPr>
        <w:pStyle w:val="Compact"/>
        <w:numPr>
          <w:ilvl w:val="0"/>
          <w:numId w:val="1002"/>
        </w:numPr>
      </w:pPr>
      <w:r>
        <w:t xml:space="preserve">تنشيط الميتوفاجيا بواسطة اليوروليثين أ لاستهداف شيخوخة العضلات: https://link.springer.com/article/10.1007/s00223-023-01145-5</w:t>
      </w:r>
    </w:p>
    <w:p>
      <w:pPr>
        <w:pStyle w:val="Compact"/>
        <w:numPr>
          <w:ilvl w:val="0"/>
          <w:numId w:val="1002"/>
        </w:numPr>
      </w:pPr>
      <w:r>
        <w:t xml:space="preserve">التباينات الفردية في الاستجابات السكرية للكربوهيدرات و…: https://www.nature.com/articles/s41591-025-03719-2</w:t>
      </w:r>
    </w:p>
    <w:p>
      <w:pPr>
        <w:pStyle w:val="Compact"/>
        <w:numPr>
          <w:ilvl w:val="0"/>
          <w:numId w:val="1002"/>
        </w:numPr>
      </w:pPr>
      <w:r>
        <w:t xml:space="preserve">التغذية الدقيقة في السكري: متى يكون النظام الغذائي القائم على السكان…: https://link.springer.com/article/10.1007/s00125-022-05721-6</w:t>
      </w:r>
    </w:p>
    <w:p>
      <w:pPr>
        <w:pStyle w:val="Compact"/>
        <w:numPr>
          <w:ilvl w:val="0"/>
          <w:numId w:val="1002"/>
        </w:numPr>
      </w:pPr>
      <w:r>
        <w:t xml:space="preserve">التغذية الشخصية في تراجع السكري من النوع 2: تطبيق…: https://www.frontiersin.org/journals/endocrinology/articles/10.3389/fendo.2024.1485464/full</w:t>
      </w:r>
    </w:p>
    <w:p>
      <w:pPr>
        <w:pStyle w:val="Compact"/>
        <w:numPr>
          <w:ilvl w:val="0"/>
          <w:numId w:val="1002"/>
        </w:numPr>
      </w:pPr>
      <w:r>
        <w:t xml:space="preserve">الجودة الغذائية المحددة بمؤشر الأكل الصحي-2015: https://www.mdpi.com/2072-6643/13/1/222</w:t>
      </w:r>
    </w:p>
    <w:p>
      <w:pPr>
        <w:pStyle w:val="Compact"/>
        <w:numPr>
          <w:ilvl w:val="0"/>
          <w:numId w:val="1002"/>
        </w:numPr>
      </w:pPr>
      <w:r>
        <w:t xml:space="preserve">تأثير تناول البقوليات على الميكروبيوم المعوي والسكر في الدم في السكري من النوع 2: https://pmc.ncbi.nlm.nih.gov/articles/PMC13079704/</w:t>
      </w:r>
    </w:p>
    <w:p>
      <w:pPr>
        <w:pStyle w:val="Compact"/>
        <w:numPr>
          <w:ilvl w:val="0"/>
          <w:numId w:val="1002"/>
        </w:numPr>
      </w:pPr>
      <w:r>
        <w:t xml:space="preserve">النظام الغذائي الغني بالبقوليات يحسن الصحة الأيضية في ما قبل السكري: https://www.nature.com/articles/s41467-025-56084-6</w:t>
      </w:r>
    </w:p>
    <w:p>
      <w:pPr>
        <w:pStyle w:val="Compact"/>
        <w:numPr>
          <w:ilvl w:val="0"/>
          <w:numId w:val="1002"/>
        </w:numPr>
      </w:pPr>
      <w:r>
        <w:t xml:space="preserve">تأثير الأنظمة الغذائية النباتية على الميكروبيوتا المعوية: مراجعة منظمة: https://www.mdpi.com/2072-6643/15/6/1510</w:t>
      </w:r>
    </w:p>
    <w:p>
      <w:pPr>
        <w:pStyle w:val="Compact"/>
        <w:numPr>
          <w:ilvl w:val="0"/>
          <w:numId w:val="1002"/>
        </w:numPr>
      </w:pPr>
      <w:r>
        <w:t xml:space="preserve">الميكروبيوتا المعوية، النظام الغذائي، والأيض الدهني في المراهقين: https://www.mdpi.com/1422-0067/27/8/3511</w:t>
      </w:r>
    </w:p>
    <w:p>
      <w:pPr>
        <w:pStyle w:val="Compact"/>
        <w:numPr>
          <w:ilvl w:val="0"/>
          <w:numId w:val="1002"/>
        </w:numPr>
      </w:pPr>
      <w:r>
        <w:t xml:space="preserve">مراجعة شاملة للعلاقة المثلثية بين…: https://pmc.ncbi.nlm.nih.gov/articles/PMC11394685/</w:t>
      </w:r>
    </w:p>
    <w:p>
      <w:pPr>
        <w:pStyle w:val="Compact"/>
        <w:numPr>
          <w:ilvl w:val="0"/>
          <w:numId w:val="1002"/>
        </w:numPr>
      </w:pPr>
      <w:r>
        <w:t xml:space="preserve">حاجز الأمعاء البشري - القياس الأمثل وتأثير النظام الغذائي: https://onlinelibrary.wiley.com/doi/10.1111/apt.70225</w:t>
      </w:r>
    </w:p>
    <w:p>
      <w:pPr>
        <w:pStyle w:val="Compact"/>
        <w:numPr>
          <w:ilvl w:val="0"/>
          <w:numId w:val="1002"/>
        </w:numPr>
      </w:pPr>
      <w:r>
        <w:t xml:space="preserve">الميكروبيوتا المعوية والسمنة: https://link.springer.com/rwe/10.1007/978-3-031-35064-1_5</w:t>
      </w:r>
    </w:p>
    <w:p>
      <w:pPr>
        <w:pStyle w:val="Compact"/>
        <w:numPr>
          <w:ilvl w:val="0"/>
          <w:numId w:val="1002"/>
        </w:numPr>
      </w:pPr>
      <w:r>
        <w:t xml:space="preserve">Eubacterium ramulus - نظرة عامة: https://www.sciencedirect.com/topics/agricultural-and-biological-sciences/eubacterium-ramulus</w:t>
      </w:r>
    </w:p>
    <w:p>
      <w:pPr>
        <w:pStyle w:val="Compact"/>
        <w:numPr>
          <w:ilvl w:val="0"/>
          <w:numId w:val="1002"/>
        </w:numPr>
      </w:pPr>
      <w:r>
        <w:t xml:space="preserve">تناول الفلوريزين الأمومي يحمي النسل من السمنة الأمومية: https://pubs.acs.org/doi/10.1021/acs.jafc.3c06370</w:t>
      </w:r>
    </w:p>
    <w:p>
      <w:pPr>
        <w:pStyle w:val="Compact"/>
        <w:numPr>
          <w:ilvl w:val="0"/>
          <w:numId w:val="1002"/>
        </w:numPr>
      </w:pPr>
      <w:r>
        <w:t xml:space="preserve">gut - محرك MedCite: https://medcite.cn/favorite?favoriteId=14527</w:t>
      </w:r>
    </w:p>
    <w:p>
      <w:pPr>
        <w:pStyle w:val="Compact"/>
        <w:numPr>
          <w:ilvl w:val="0"/>
          <w:numId w:val="1002"/>
        </w:numPr>
      </w:pPr>
      <w:r>
        <w:t xml:space="preserve">استراتيجيات علاجية جديدة</w:t>
      </w:r>
      <w:r>
        <w:t xml:space="preserve"> </w:t>
      </w:r>
      <w:r>
        <w:t xml:space="preserve">“</w:t>
      </w:r>
      <w:r>
        <w:t xml:space="preserve">خارج الصندوق</w:t>
      </w:r>
      <w:r>
        <w:t xml:space="preserve">”</w:t>
      </w:r>
      <w:r>
        <w:t xml:space="preserve"> </w:t>
      </w:r>
      <w:r>
        <w:t xml:space="preserve">لمرض كرون: https://www.researchgate.net/publication/361538256</w:t>
      </w:r>
    </w:p>
    <w:p>
      <w:pPr>
        <w:pStyle w:val="Compact"/>
        <w:numPr>
          <w:ilvl w:val="0"/>
          <w:numId w:val="1002"/>
        </w:numPr>
      </w:pPr>
      <w:r>
        <w:t xml:space="preserve">Nutrients، المجلد 13، العدد 9 (سبتمبر 2021): https://www.mdpi.com/2072-6643/13/9</w:t>
      </w:r>
    </w:p>
    <w:p>
      <w:pPr>
        <w:pStyle w:val="Compact"/>
        <w:numPr>
          <w:ilvl w:val="0"/>
          <w:numId w:val="1002"/>
        </w:numPr>
      </w:pPr>
      <w:r>
        <w:t xml:space="preserve">الميكروبيوتا المعوية وجودة التخثر الفموي بفيتامين K: https://pmc.ncbi.nlm.nih.gov/articles/PMC7916955/</w:t>
      </w:r>
    </w:p>
    <w:p>
      <w:pPr>
        <w:pStyle w:val="Compact"/>
        <w:numPr>
          <w:ilvl w:val="0"/>
          <w:numId w:val="1002"/>
        </w:numPr>
      </w:pPr>
      <w:r>
        <w:t xml:space="preserve">تأثير وقت إعطاء الوارفارين على التخثر: https://pmc.ncbi.nlm.nih.gov/articles/PMC7227461/</w:t>
      </w:r>
    </w:p>
    <w:p>
      <w:pPr>
        <w:pStyle w:val="Compact"/>
        <w:numPr>
          <w:ilvl w:val="0"/>
          <w:numId w:val="1002"/>
        </w:numPr>
      </w:pPr>
      <w:r>
        <w:t xml:space="preserve">هل توجد</w:t>
      </w:r>
      <w:r>
        <w:t xml:space="preserve"> </w:t>
      </w:r>
      <w:r>
        <w:t xml:space="preserve">“</w:t>
      </w:r>
      <w:r>
        <w:t xml:space="preserve">مواد مضادة للتغذية</w:t>
      </w:r>
      <w:r>
        <w:t xml:space="preserve">”</w:t>
      </w:r>
      <w:r>
        <w:t xml:space="preserve">؟ مراجعة سردية: https://pmc.ncbi.nlm.nih.gov/articles/PMC7600777/</w:t>
      </w:r>
    </w:p>
    <w:p>
      <w:pPr>
        <w:pStyle w:val="Compact"/>
        <w:numPr>
          <w:ilvl w:val="0"/>
          <w:numId w:val="1002"/>
        </w:numPr>
      </w:pPr>
      <w:r>
        <w:t xml:space="preserve">الاستخدام الآمن والفعال للأنظمة الغذائية النباتية: https://pmc.ncbi.nlm.nih.gov/articles/PMC8623061/</w:t>
      </w:r>
    </w:p>
    <w:p>
      <w:pPr>
        <w:pStyle w:val="Compact"/>
        <w:numPr>
          <w:ilvl w:val="0"/>
          <w:numId w:val="1002"/>
        </w:numPr>
      </w:pPr>
      <w:r>
        <w:t xml:space="preserve">توسيع الآفاق لاستهلاك البقوليات: https://www.frontiersin.org/journals/plant-science/articles/10.3389/fpls.2022.772054/full</w:t>
      </w:r>
    </w:p>
    <w:p>
      <w:pPr>
        <w:pStyle w:val="Compact"/>
        <w:numPr>
          <w:ilvl w:val="0"/>
          <w:numId w:val="1002"/>
        </w:numPr>
      </w:pPr>
      <w:r>
        <w:t xml:space="preserve">هل الخضروات الصليبية تؤثر على وظيفة الغدة الدرقية؟: https://www.mdpi.com/1422-0067/25/7/3988</w:t>
      </w:r>
    </w:p>
    <w:p>
      <w:pPr>
        <w:pStyle w:val="Compact"/>
        <w:numPr>
          <w:ilvl w:val="0"/>
          <w:numId w:val="1002"/>
        </w:numPr>
      </w:pPr>
      <w:r>
        <w:t xml:space="preserve">طرق الطبخ للحفاظ على الإيزوثيوسيانات وتقليل…: https://pmc.ncbi.nlm.nih.gov/articles/PMC10573036/</w:t>
      </w:r>
    </w:p>
    <w:p>
      <w:pPr>
        <w:pStyle w:val="Compact"/>
        <w:numPr>
          <w:ilvl w:val="0"/>
          <w:numId w:val="1002"/>
        </w:numPr>
      </w:pPr>
      <w:r>
        <w:t xml:space="preserve">هل الأغذية الغويتروجينية حقاً شيء يجب تجنبه؟: https://deannaminich.com/are-dietary-goitrogens-really-something-to-avoid/</w:t>
      </w:r>
    </w:p>
    <w:p>
      <w:pPr>
        <w:pStyle w:val="Compact"/>
        <w:numPr>
          <w:ilvl w:val="0"/>
          <w:numId w:val="1002"/>
        </w:numPr>
      </w:pPr>
      <w:r>
        <w:t xml:space="preserve">تأثير التغييرات التغذوية على مرض الكبد الدهني غير الكحولي: https://pmc.ncbi.nlm.nih.gov/articles/PMC6470750/</w:t>
      </w:r>
    </w:p>
    <w:p>
      <w:pPr>
        <w:pStyle w:val="Compact"/>
        <w:numPr>
          <w:ilvl w:val="0"/>
          <w:numId w:val="1002"/>
        </w:numPr>
      </w:pPr>
      <w:r>
        <w:t xml:space="preserve">دور الزيوت النباتية في تعديل ملامح الدهون في المرضى: https://www.researchgate.net/publication/397431406</w:t>
      </w:r>
    </w:p>
    <w:p>
      <w:pPr>
        <w:pStyle w:val="Compact"/>
        <w:numPr>
          <w:ilvl w:val="0"/>
          <w:numId w:val="1002"/>
        </w:numPr>
      </w:pPr>
      <w:r>
        <w:t xml:space="preserve">هل هناك المزيد في زيت الزيتون غير الدهون الصحية؟ - MDPI: https://www.mdpi.com/2072-6643/15/16/3625</w:t>
      </w:r>
    </w:p>
    <w:p>
      <w:pPr>
        <w:pStyle w:val="Compact"/>
        <w:numPr>
          <w:ilvl w:val="0"/>
          <w:numId w:val="1002"/>
        </w:numPr>
      </w:pPr>
      <w:r>
        <w:t xml:space="preserve">“</w:t>
      </w:r>
      <w:r>
        <w:t xml:space="preserve">Dietaly</w:t>
      </w:r>
      <w:r>
        <w:t xml:space="preserve">”</w:t>
      </w:r>
      <w:r>
        <w:t xml:space="preserve">: قضايا عملية للإدارة التغذوية لـ CKD: https://pmc.ncbi.nlm.nih.gov/articles/PMC4966713/</w:t>
      </w:r>
    </w:p>
    <w:p>
      <w:pPr>
        <w:pStyle w:val="Compact"/>
        <w:numPr>
          <w:ilvl w:val="0"/>
          <w:numId w:val="1002"/>
        </w:numPr>
      </w:pPr>
      <w:r>
        <w:t xml:space="preserve">استهلاك المكسرات والبذور مرتبط بشكل عكسي بالأيض: https://pmc.ncbi.nlm.nih.gov/articles/PMC10421777/</w:t>
      </w:r>
    </w:p>
    <w:p>
      <w:pPr>
        <w:pStyle w:val="Compact"/>
        <w:numPr>
          <w:ilvl w:val="0"/>
          <w:numId w:val="1002"/>
        </w:numPr>
      </w:pPr>
      <w:r>
        <w:t xml:space="preserve">تأثير الاستهلاك طويل المدى والوجبات الفردية من الحمص على…: https://www.researchgate.net/publication/8684044</w:t>
      </w:r>
    </w:p>
    <w:p>
      <w:pPr>
        <w:pStyle w:val="Compact"/>
        <w:numPr>
          <w:ilvl w:val="0"/>
          <w:numId w:val="1002"/>
        </w:numPr>
      </w:pPr>
      <w:r>
        <w:t xml:space="preserve">اليوروليثين أ، أيض معوي، يحسن من حساسية الأنسولين من خلال…: https://www.researchgate.net/publication/331130695</w:t>
      </w:r>
    </w:p>
    <w:p>
      <w:pPr>
        <w:pStyle w:val="Compact"/>
        <w:numPr>
          <w:ilvl w:val="0"/>
          <w:numId w:val="1002"/>
        </w:numPr>
      </w:pPr>
      <w:r>
        <w:t xml:space="preserve">الضماد الحيوي: خوارزمية جديدة في التئام الجروح: https://pmc.ncbi.nlm.nih.gov/articles/PMC11084389/</w:t>
      </w:r>
    </w:p>
    <w:p>
      <w:pPr>
        <w:pStyle w:val="Compact"/>
        <w:numPr>
          <w:ilvl w:val="0"/>
          <w:numId w:val="1002"/>
        </w:numPr>
      </w:pPr>
      <w:r>
        <w:t xml:space="preserve">الميكروبيوتا المعوية، نفاذية الأمعاء، والالتهاب الجهازي: https://pmc.ncbi.nlm.nih.gov/articles/PMC10954893/</w:t>
      </w:r>
    </w:p>
    <w:p>
      <w:pPr>
        <w:pStyle w:val="Compact"/>
        <w:numPr>
          <w:ilvl w:val="0"/>
          <w:numId w:val="1002"/>
        </w:numPr>
      </w:pPr>
      <w:r>
        <w:t xml:space="preserve">دور الميكروبيوتا المعوية في أمراض الغدة الدرقية المناعية الذاتية: https://www.frontiersin.org/journals/endocrinology/articles/10.3389/fendo.2026.1785878/full</w:t>
      </w:r>
    </w:p>
    <w:p>
      <w:pPr>
        <w:pStyle w:val="Compact"/>
        <w:numPr>
          <w:ilvl w:val="0"/>
          <w:numId w:val="1002"/>
        </w:numPr>
      </w:pPr>
      <w:r>
        <w:t xml:space="preserve">دور الدهون الغذائية والدهون المشتقة من الميكروبيوم في التنظيم: https://www.sciopen.com/article/10.26599/JFB.2024.95028391</w:t>
      </w:r>
    </w:p>
    <w:p>
      <w:pPr>
        <w:pStyle w:val="Compact"/>
        <w:numPr>
          <w:ilvl w:val="0"/>
          <w:numId w:val="1002"/>
        </w:numPr>
      </w:pPr>
      <w:r>
        <w:t xml:space="preserve">تجربة عشوائية لزيت جوز الهند، زيت الزيتون أو الزبدة على دهون الدم: https://pubmed.ncbi.nlm.nih.gov/29511019/</w:t>
      </w:r>
    </w:p>
    <w:p>
      <w:pPr>
        <w:pStyle w:val="Compact"/>
        <w:numPr>
          <w:ilvl w:val="0"/>
          <w:numId w:val="1002"/>
        </w:numPr>
      </w:pPr>
      <w:r>
        <w:t xml:space="preserve">nutrients - Semantic Scholar: https://pdfs.semanticscholar.org/53b0/43dff05e021ed441ad95d8a94e517a317955.pdf</w:t>
      </w:r>
    </w:p>
    <w:p>
      <w:pPr>
        <w:pStyle w:val="Compact"/>
        <w:numPr>
          <w:ilvl w:val="0"/>
          <w:numId w:val="1002"/>
        </w:numPr>
      </w:pPr>
      <w:r>
        <w:t xml:space="preserve">إرشادات توافقية لتشخيص وإدارة…: https://www.researchgate.net/publication/389602730</w:t>
      </w:r>
    </w:p>
    <w:p>
      <w:pPr>
        <w:pStyle w:val="Compact"/>
        <w:numPr>
          <w:ilvl w:val="0"/>
          <w:numId w:val="1002"/>
        </w:numPr>
      </w:pPr>
      <w:r>
        <w:t xml:space="preserve">التحول التغذوي نحو النباتية البروتينية: https://theses.hal.science/tel-04993877v1/file/2023UCFA0100_LEPINE.pdf</w:t>
      </w:r>
    </w:p>
    <w:p>
      <w:pPr>
        <w:pStyle w:val="Compact"/>
        <w:numPr>
          <w:ilvl w:val="0"/>
          <w:numId w:val="1002"/>
        </w:numPr>
      </w:pPr>
      <w:r>
        <w:t xml:space="preserve">الضعف الإدراكي المرتبط بالسمنة: دور البطانة…: https://www.sciencedirect.com/science/article/pii/S0969996119302487</w:t>
      </w:r>
    </w:p>
    <w:p>
      <w:pPr>
        <w:pStyle w:val="Compact"/>
        <w:numPr>
          <w:ilvl w:val="0"/>
          <w:numId w:val="1002"/>
        </w:numPr>
      </w:pPr>
      <w:r>
        <w:t xml:space="preserve">خارطة الطريق للتطبيق السريري لاختبار تنشيط الخلايا القاعدية: https://onlinelibrary.wiley.com/doi/full/10.1111/cea.12964</w:t>
      </w:r>
    </w:p>
    <w:p>
      <w:pPr>
        <w:pStyle w:val="Compact"/>
        <w:numPr>
          <w:ilvl w:val="0"/>
          <w:numId w:val="1002"/>
        </w:numPr>
      </w:pPr>
      <w:r>
        <w:t xml:space="preserve">ملخصات شفهية (OAS) - 2023 - Allergy: https://onlinelibrary.wiley.com/doi/10.1111/all.15924</w:t>
      </w:r>
    </w:p>
    <w:p>
      <w:pPr>
        <w:pStyle w:val="Compact"/>
        <w:numPr>
          <w:ilvl w:val="0"/>
          <w:numId w:val="1002"/>
        </w:numPr>
      </w:pPr>
      <w:r>
        <w:t xml:space="preserve">النشا المقاوم والأيضات الثانوية المشتقة من الميكروبيوتا: https://www.mdpi.com/1422-0067/26/16/7753</w:t>
      </w:r>
    </w:p>
    <w:p>
      <w:pPr>
        <w:pStyle w:val="Compact"/>
        <w:numPr>
          <w:ilvl w:val="0"/>
          <w:numId w:val="1002"/>
        </w:numPr>
      </w:pPr>
      <w:r>
        <w:t xml:space="preserve">العلاقة السببية بين التغييرات المستحثة بالنظام الغذائي في الميكروبيوم: https://www.researchgate.net/publication/329138496</w:t>
      </w:r>
    </w:p>
    <w:p>
      <w:pPr>
        <w:pStyle w:val="Compact"/>
        <w:numPr>
          <w:ilvl w:val="0"/>
          <w:numId w:val="1002"/>
        </w:numPr>
      </w:pPr>
      <w:r>
        <w:t xml:space="preserve">التخمير في المختبر يكشف عن تغييرات في إنتاج البيوتيرات: https://pmc.ncbi.nlm.nih.gov/articles/PMC8117019/</w:t>
      </w:r>
    </w:p>
    <w:p>
      <w:pPr>
        <w:pStyle w:val="Compact"/>
        <w:numPr>
          <w:ilvl w:val="0"/>
          <w:numId w:val="1002"/>
        </w:numPr>
      </w:pPr>
      <w:r>
        <w:t xml:space="preserve">التنظيم التخلقي الجيني المستحث بالسولفورافان لـ Nrf2: https://pmc.ncbi.nlm.nih.gov/articles/PMC6676568/</w:t>
      </w:r>
    </w:p>
    <w:p>
      <w:pPr>
        <w:pStyle w:val="Compact"/>
        <w:numPr>
          <w:ilvl w:val="0"/>
          <w:numId w:val="1002"/>
        </w:numPr>
      </w:pPr>
      <w:r>
        <w:t xml:space="preserve">دور السولفورافان في الآليات التخلقية الجينية، بما في ذلك…: https://www.mdpi.com/1422-0067/16/12/26195</w:t>
      </w:r>
    </w:p>
    <w:p>
      <w:pPr>
        <w:pStyle w:val="Compact"/>
        <w:numPr>
          <w:ilvl w:val="0"/>
          <w:numId w:val="1002"/>
        </w:numPr>
      </w:pPr>
      <w:r>
        <w:t xml:space="preserve">السولفورافان يعزز تعبير Nrf2 في سرطان البروستاتا TRAMP: https://pmc.ncbi.nlm.nih.gov/articles/PMC4123317/</w:t>
      </w:r>
    </w:p>
    <w:p>
      <w:pPr>
        <w:pStyle w:val="Compact"/>
        <w:numPr>
          <w:ilvl w:val="0"/>
          <w:numId w:val="1002"/>
        </w:numPr>
      </w:pPr>
      <w:r>
        <w:t xml:space="preserve">فرص الوقاية من سرطان الثدي والبروستاتا: https://www.researchgate.net/publication/271828437</w:t>
      </w:r>
    </w:p>
    <w:p>
      <w:pPr>
        <w:pStyle w:val="Compact"/>
        <w:numPr>
          <w:ilvl w:val="0"/>
          <w:numId w:val="1002"/>
        </w:numPr>
      </w:pPr>
      <w:r>
        <w:t xml:space="preserve">تغييرات النسخ الكامل والميثيلات DNA المُعدّلة: https://pubmed.ncbi.nlm.nih.gov/31838189/</w:t>
      </w:r>
    </w:p>
    <w:p>
      <w:pPr>
        <w:pStyle w:val="Compact"/>
        <w:numPr>
          <w:ilvl w:val="0"/>
          <w:numId w:val="1002"/>
        </w:numPr>
      </w:pPr>
      <w:r>
        <w:t xml:space="preserve">تأثير تكميل اليوروليثين أ على تحمل العضلات و…: https://pubmed.ncbi.nlm.nih.gov/35050355/</w:t>
      </w:r>
    </w:p>
    <w:p>
      <w:pPr>
        <w:pStyle w:val="Compact"/>
        <w:numPr>
          <w:ilvl w:val="0"/>
          <w:numId w:val="1002"/>
        </w:numPr>
      </w:pPr>
      <w:r>
        <w:t xml:space="preserve">الميكروبيوتا المعوية، الكائن المضيف، والنظام الغذائي في السكري: https://pmc.ncbi.nlm.nih.gov/articles/PMC6424913/</w:t>
      </w:r>
    </w:p>
    <w:p>
      <w:pPr>
        <w:pStyle w:val="Compact"/>
        <w:numPr>
          <w:ilvl w:val="0"/>
          <w:numId w:val="1002"/>
        </w:numPr>
      </w:pPr>
      <w:r>
        <w:t xml:space="preserve">التأثير الغذائي على ديناميكيات الميكروبيوم المعوي البشري: https://…</w:t>
      </w:r>
    </w:p>
    <w:p>
      <w:pPr>
        <w:pStyle w:val="Compact"/>
        <w:numPr>
          <w:ilvl w:val="0"/>
          <w:numId w:val="1002"/>
        </w:numPr>
      </w:pPr>
      <w:r>
        <w:t xml:space="preserve">اقتراح جديد للآلية المرضية لـ…: https://…</w:t>
      </w:r>
    </w:p>
    <w:p>
      <w:pPr>
        <w:pStyle w:val="Compact"/>
        <w:numPr>
          <w:ilvl w:val="0"/>
          <w:numId w:val="1002"/>
        </w:numPr>
      </w:pPr>
      <w:r>
        <w:t xml:space="preserve">مراجعة المقال: الدور الناشئ للميكروبيوم المعوي في…: https://…</w:t>
      </w:r>
    </w:p>
    <w:p>
      <w:pPr>
        <w:pStyle w:val="Compact"/>
        <w:numPr>
          <w:ilvl w:val="0"/>
          <w:numId w:val="1002"/>
        </w:numPr>
      </w:pPr>
      <w:r>
        <w:t xml:space="preserve">The BMJ - Confidential: For Review Only</w:t>
      </w:r>
    </w:p>
    <w:p>
      <w:pPr>
        <w:pStyle w:val="Compact"/>
        <w:numPr>
          <w:ilvl w:val="0"/>
          <w:numId w:val="1002"/>
        </w:numPr>
      </w:pPr>
      <w:r>
        <w:t xml:space="preserve">منتجات الألبان المخمرة كمُعدّلات دقيقة للميكروبيوم: https://www.researchgate.net/publication/392252057</w:t>
      </w:r>
    </w:p>
    <w:p>
      <w:pPr>
        <w:pStyle w:val="Compact"/>
        <w:numPr>
          <w:ilvl w:val="0"/>
          <w:numId w:val="1002"/>
        </w:numPr>
      </w:pPr>
      <w:r>
        <w:t xml:space="preserve">مثبطات SGLT2 تمنح الحماية القلبية الوعائية عبر الأمعاء: https://…</w:t>
      </w:r>
    </w:p>
    <w:p>
      <w:pPr>
        <w:pStyle w:val="Compact"/>
        <w:numPr>
          <w:ilvl w:val="0"/>
          <w:numId w:val="1002"/>
        </w:numPr>
      </w:pPr>
      <w:r>
        <w:t xml:space="preserve">التغذية الشخصية في إدارة العقم الأنثوي: https://pmc.ncbi.nlm.nih.gov/articles/…</w:t>
      </w:r>
    </w:p>
    <w:p>
      <w:pPr>
        <w:pStyle w:val="Compact"/>
        <w:numPr>
          <w:ilvl w:val="0"/>
          <w:numId w:val="1002"/>
        </w:numPr>
      </w:pPr>
      <w:r>
        <w:t xml:space="preserve">مقارنة وتوصية الأنماط الغذائية بناءً على العناصر الغذائية: https://www.researchgate.net/publication/367203601</w:t>
      </w:r>
    </w:p>
    <w:p>
      <w:pPr>
        <w:pStyle w:val="Compact"/>
        <w:numPr>
          <w:ilvl w:val="0"/>
          <w:numId w:val="1002"/>
        </w:numPr>
      </w:pPr>
      <w:r>
        <w:t xml:space="preserve">Int.J.Mol.Sci.، المجلد 24، العدد 4 (فبراير-2023): https://…</w:t>
      </w:r>
    </w:p>
    <w:p>
      <w:pPr>
        <w:pStyle w:val="Compact"/>
        <w:numPr>
          <w:ilvl w:val="0"/>
          <w:numId w:val="1002"/>
        </w:numPr>
      </w:pPr>
      <w:r>
        <w:t xml:space="preserve">World Journal of Gastroenterology: https://…</w:t>
      </w:r>
    </w:p>
    <w:p>
      <w:pPr>
        <w:pStyle w:val="Compact"/>
        <w:numPr>
          <w:ilvl w:val="0"/>
          <w:numId w:val="1002"/>
        </w:numPr>
      </w:pPr>
      <w:r>
        <w:t xml:space="preserve">Nutrients، المجلد 13، العدد 5 (مايو 2021):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كمُنبئ لشدة وحدّة…: https://…</w:t>
      </w:r>
    </w:p>
    <w:p>
      <w:pPr>
        <w:pStyle w:val="Compact"/>
        <w:numPr>
          <w:ilvl w:val="0"/>
          <w:numId w:val="1002"/>
        </w:numPr>
      </w:pPr>
      <w:r>
        <w:t xml:space="preserve">تعديل استهلاك البيض الجزئي يُعدّل الأداء التشخيصي لـ…: https://…</w:t>
      </w:r>
    </w:p>
    <w:p>
      <w:pPr>
        <w:pStyle w:val="Compact"/>
        <w:numPr>
          <w:ilvl w:val="0"/>
          <w:numId w:val="1002"/>
        </w:numPr>
      </w:pPr>
      <w:r>
        <w:t xml:space="preserve">الأحماض الدهنية قصيرة السلسلة (SCFAs) - التوسط في النخالة المعوية: https://…</w:t>
      </w:r>
    </w:p>
    <w:p>
      <w:pPr>
        <w:pStyle w:val="Compact"/>
        <w:numPr>
          <w:ilvl w:val="0"/>
          <w:numId w:val="1002"/>
        </w:numPr>
      </w:pPr>
      <w:r>
        <w:t xml:space="preserve">تناول البقوليات على الميكروبيوم المعوي والسكر في الدم في السكري من النوع 2: https://www.researchgate.net/publication/403394296</w:t>
      </w:r>
    </w:p>
    <w:p>
      <w:pPr>
        <w:pStyle w:val="Compact"/>
        <w:numPr>
          <w:ilvl w:val="0"/>
          <w:numId w:val="1002"/>
        </w:numPr>
      </w:pPr>
      <w:r>
        <w:t xml:space="preserve">ارتباطات الميكروبيوتا المعوية، التناول الغذائي، وSCFAs المصلية: https://pmc.ncbi.nlm.nih.gov/articles/PMC6971417/</w:t>
      </w:r>
    </w:p>
    <w:p>
      <w:pPr>
        <w:pStyle w:val="Compact"/>
        <w:numPr>
          <w:ilvl w:val="0"/>
          <w:numId w:val="1002"/>
        </w:numPr>
      </w:pPr>
      <w:r>
        <w:t xml:space="preserve">تأثير التدخلات الغذائية على الالتهاب المزمن: https://www.mdpi.com/2072-6643/13/9/3208</w:t>
      </w:r>
    </w:p>
    <w:p>
      <w:pPr>
        <w:pStyle w:val="Compact"/>
        <w:numPr>
          <w:ilvl w:val="0"/>
          <w:numId w:val="1002"/>
        </w:numPr>
      </w:pPr>
      <w:r>
        <w:t xml:space="preserve">التلاعب الغذائي بالميكروبيوم المعوي في مرضى السكري: https://pmc.ncbi.nlm.nih.gov/articles/PMC12130102/</w:t>
      </w:r>
    </w:p>
    <w:p>
      <w:pPr>
        <w:pStyle w:val="Compact"/>
        <w:numPr>
          <w:ilvl w:val="0"/>
          <w:numId w:val="1002"/>
        </w:numPr>
      </w:pPr>
      <w:r>
        <w:t xml:space="preserve">منظور حول الإجهاد التأكسدي، الالتهاب، وعلم التخلق الجيني: https://…</w:t>
      </w:r>
    </w:p>
    <w:p>
      <w:pPr>
        <w:pStyle w:val="Compact"/>
        <w:numPr>
          <w:ilvl w:val="0"/>
          <w:numId w:val="1002"/>
        </w:numPr>
      </w:pPr>
      <w:r>
        <w:t xml:space="preserve">العلاقة السببية بين التغييرات المستحثة بالنظام الغذائي في الميكروبيوم: https://www.researchgate.net/publication/329138496</w:t>
      </w:r>
    </w:p>
    <w:p>
      <w:pPr>
        <w:pStyle w:val="Compact"/>
        <w:numPr>
          <w:ilvl w:val="0"/>
          <w:numId w:val="1002"/>
        </w:numPr>
      </w:pPr>
      <w:r>
        <w:t xml:space="preserve">التخمير في المختبر يكشف عن تغييرات في إنتاج البيوتيرات: https://pmc.ncbi.nlm.nih.gov/articles/PMC8117019/</w:t>
      </w:r>
    </w:p>
    <w:p>
      <w:pPr>
        <w:pStyle w:val="Compact"/>
        <w:numPr>
          <w:ilvl w:val="0"/>
          <w:numId w:val="1002"/>
        </w:numPr>
      </w:pPr>
      <w:r>
        <w:t xml:space="preserve">التنظيم التخلقي الجيني المستحث بالسولفورافان لـ Nrf2: https://pmc.ncbi.nlm.nih.gov/articles/PMC6676568/</w:t>
      </w:r>
    </w:p>
    <w:p>
      <w:pPr>
        <w:pStyle w:val="Compact"/>
        <w:numPr>
          <w:ilvl w:val="0"/>
          <w:numId w:val="1002"/>
        </w:numPr>
      </w:pPr>
      <w:r>
        <w:t xml:space="preserve">دور السولفورافان في الآليات التخلقية الجينية: https://www.mdpi.com/1422-0067/16/12/26195</w:t>
      </w:r>
    </w:p>
    <w:p>
      <w:pPr>
        <w:pStyle w:val="Compact"/>
        <w:numPr>
          <w:ilvl w:val="0"/>
          <w:numId w:val="1002"/>
        </w:numPr>
      </w:pPr>
      <w:r>
        <w:t xml:space="preserve">السولفورافان يعزز تعبير Nrf2 في سرطان البروستاتا: https://pmc.ncbi.nlm.nih.gov/articles/PMC4123317/</w:t>
      </w:r>
    </w:p>
    <w:p>
      <w:pPr>
        <w:pStyle w:val="Compact"/>
        <w:numPr>
          <w:ilvl w:val="0"/>
          <w:numId w:val="1002"/>
        </w:numPr>
      </w:pPr>
      <w:r>
        <w:t xml:space="preserve">فرص الوقاية من سرطان الثدي والبروستاتا: https://www.researchgate.net/publication/271828437</w:t>
      </w:r>
    </w:p>
    <w:p>
      <w:pPr>
        <w:pStyle w:val="Compact"/>
        <w:numPr>
          <w:ilvl w:val="0"/>
          <w:numId w:val="1002"/>
        </w:numPr>
      </w:pPr>
      <w:r>
        <w:t xml:space="preserve">تغييرات النسخ الكامل والميثيلات DNA: https://pubmed.ncbi.nlm.nih.gov/31838189/</w:t>
      </w:r>
    </w:p>
    <w:p>
      <w:pPr>
        <w:pStyle w:val="Compact"/>
        <w:numPr>
          <w:ilvl w:val="0"/>
          <w:numId w:val="1002"/>
        </w:numPr>
      </w:pPr>
      <w:r>
        <w:t xml:space="preserve">تأثير تكميل اليوروليثين أ على تحمل العضلات: https://pubmed.ncbi.nlm.nih.gov/35050355/</w:t>
      </w:r>
    </w:p>
    <w:p>
      <w:pPr>
        <w:pStyle w:val="Compact"/>
        <w:numPr>
          <w:ilvl w:val="0"/>
          <w:numId w:val="1002"/>
        </w:numPr>
      </w:pPr>
      <w:r>
        <w:t xml:space="preserve">الميكروبيوتا المعوية، الكائن المضيف، والنظام الغذائي في السكري: https://pmc.ncbi.nlm.nih.gov/articles/PMC6424913/</w:t>
      </w:r>
    </w:p>
    <w:p>
      <w:pPr>
        <w:pStyle w:val="Compact"/>
        <w:numPr>
          <w:ilvl w:val="0"/>
          <w:numId w:val="1002"/>
        </w:numPr>
      </w:pPr>
      <w:r>
        <w:t xml:space="preserve">التأثير الغذائي على ديناميكيات الميكروبيوم: https://…</w:t>
      </w:r>
    </w:p>
    <w:p>
      <w:pPr>
        <w:pStyle w:val="Compact"/>
        <w:numPr>
          <w:ilvl w:val="0"/>
          <w:numId w:val="1002"/>
        </w:numPr>
      </w:pPr>
      <w:r>
        <w:t xml:space="preserve">اقتراح جديد للآلية المرضية: https://…</w:t>
      </w:r>
    </w:p>
    <w:p>
      <w:pPr>
        <w:pStyle w:val="Compact"/>
        <w:numPr>
          <w:ilvl w:val="0"/>
          <w:numId w:val="1002"/>
        </w:numPr>
      </w:pPr>
      <w:r>
        <w:t xml:space="preserve">مراجعة المقال: الدور الناشئ للميكروبيوم: https://…</w:t>
      </w:r>
    </w:p>
    <w:p>
      <w:pPr>
        <w:pStyle w:val="Compact"/>
        <w:numPr>
          <w:ilvl w:val="0"/>
          <w:numId w:val="1002"/>
        </w:numPr>
      </w:pPr>
      <w:r>
        <w:t xml:space="preserve">The BMJ - Confidential: For Review Only</w:t>
      </w:r>
    </w:p>
    <w:p>
      <w:pPr>
        <w:pStyle w:val="Compact"/>
        <w:numPr>
          <w:ilvl w:val="0"/>
          <w:numId w:val="1002"/>
        </w:numPr>
      </w:pPr>
      <w:r>
        <w:t xml:space="preserve">منتجات الألبان المخمرة كمُعدّلات دقيقة: https://www.researchgate.net/publication/392252057</w:t>
      </w:r>
    </w:p>
    <w:p>
      <w:pPr>
        <w:pStyle w:val="Compact"/>
        <w:numPr>
          <w:ilvl w:val="0"/>
          <w:numId w:val="1002"/>
        </w:numPr>
      </w:pPr>
      <w:r>
        <w:t xml:space="preserve">مثبطات SGLT2 تمنح الحماية القلبية: https://…</w:t>
      </w:r>
    </w:p>
    <w:p>
      <w:pPr>
        <w:pStyle w:val="Compact"/>
        <w:numPr>
          <w:ilvl w:val="0"/>
          <w:numId w:val="1002"/>
        </w:numPr>
      </w:pPr>
      <w:r>
        <w:t xml:space="preserve">التغذية الشخصية في إدارة العقم: https://pmc.ncbi.nlm.nih.gov/articles/…</w:t>
      </w:r>
    </w:p>
    <w:p>
      <w:pPr>
        <w:pStyle w:val="Compact"/>
        <w:numPr>
          <w:ilvl w:val="0"/>
          <w:numId w:val="1002"/>
        </w:numPr>
      </w:pPr>
      <w:r>
        <w:t xml:space="preserve">مقارنة وتوصية الأنماط الغذائية: https://www.researchgate.net/publication/367203601</w:t>
      </w:r>
    </w:p>
    <w:p>
      <w:pPr>
        <w:pStyle w:val="Compact"/>
        <w:numPr>
          <w:ilvl w:val="0"/>
          <w:numId w:val="1002"/>
        </w:numPr>
      </w:pPr>
      <w:r>
        <w:t xml:space="preserve">Int.J.Mol.Sci.، المجلد 24: https://…</w:t>
      </w:r>
    </w:p>
    <w:p>
      <w:pPr>
        <w:pStyle w:val="Compact"/>
        <w:numPr>
          <w:ilvl w:val="0"/>
          <w:numId w:val="1002"/>
        </w:numPr>
      </w:pPr>
      <w:r>
        <w:t xml:space="preserve">World Journal of Gastroenterology: https://…</w:t>
      </w:r>
    </w:p>
    <w:p>
      <w:pPr>
        <w:pStyle w:val="Compact"/>
        <w:numPr>
          <w:ilvl w:val="0"/>
          <w:numId w:val="1002"/>
        </w:numPr>
      </w:pPr>
      <w:r>
        <w:t xml:space="preserve">Nutrients، المجلد 13، العدد 5: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كمُنبئ: https://…</w:t>
      </w:r>
    </w:p>
    <w:p>
      <w:pPr>
        <w:pStyle w:val="Compact"/>
        <w:numPr>
          <w:ilvl w:val="0"/>
          <w:numId w:val="1002"/>
        </w:numPr>
      </w:pPr>
      <w:r>
        <w:t xml:space="preserve">تعديل استهلاك البيض الجزئي: https://…</w:t>
      </w:r>
    </w:p>
    <w:p>
      <w:pPr>
        <w:pStyle w:val="Compact"/>
        <w:numPr>
          <w:ilvl w:val="0"/>
          <w:numId w:val="1002"/>
        </w:numPr>
      </w:pPr>
      <w:r>
        <w:t xml:space="preserve">الأحماض الدهنية قصيرة السلسلة (SCFAs): https://…</w:t>
      </w:r>
    </w:p>
    <w:p>
      <w:pPr>
        <w:pStyle w:val="Compact"/>
        <w:numPr>
          <w:ilvl w:val="0"/>
          <w:numId w:val="1002"/>
        </w:numPr>
      </w:pPr>
      <w:r>
        <w:t xml:space="preserve">تناول البقوليات على الميكروبيوم: https://www.researchgate.net/publication/403394296</w:t>
      </w:r>
    </w:p>
    <w:p>
      <w:pPr>
        <w:pStyle w:val="Compact"/>
        <w:numPr>
          <w:ilvl w:val="0"/>
          <w:numId w:val="1002"/>
        </w:numPr>
      </w:pPr>
      <w:r>
        <w:t xml:space="preserve">ارتباطات الميكروبيوتا المعوية: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بالميكروبيوم: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بين التغييرات: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pPr>
        <w:pStyle w:val="Compact"/>
        <w:numPr>
          <w:ilvl w:val="0"/>
          <w:numId w:val="1002"/>
        </w:numPr>
      </w:pPr>
      <w:r>
        <w:t xml:space="preserve">مثبطات SGLT2: https://…</w:t>
      </w:r>
    </w:p>
    <w:p>
      <w:pPr>
        <w:pStyle w:val="Compact"/>
        <w:numPr>
          <w:ilvl w:val="0"/>
          <w:numId w:val="1002"/>
        </w:numPr>
      </w:pPr>
      <w:r>
        <w:t xml:space="preserve">التغذية الشخصية: https://pmc.ncbi.nlm.nih.gov/articles/…</w:t>
      </w:r>
    </w:p>
    <w:p>
      <w:pPr>
        <w:pStyle w:val="Compact"/>
        <w:numPr>
          <w:ilvl w:val="0"/>
          <w:numId w:val="1002"/>
        </w:numPr>
      </w:pPr>
      <w:r>
        <w:t xml:space="preserve">مقارنة وتوصية: https://www.researchgate.net/publication/367203601</w:t>
      </w:r>
    </w:p>
    <w:p>
      <w:pPr>
        <w:pStyle w:val="Compact"/>
        <w:numPr>
          <w:ilvl w:val="0"/>
          <w:numId w:val="1002"/>
        </w:numPr>
      </w:pPr>
      <w:r>
        <w:t xml:space="preserve">Int.J.Mol.Sci.: https://…</w:t>
      </w:r>
    </w:p>
    <w:p>
      <w:pPr>
        <w:pStyle w:val="Compact"/>
        <w:numPr>
          <w:ilvl w:val="0"/>
          <w:numId w:val="1002"/>
        </w:numPr>
      </w:pPr>
      <w:r>
        <w:t xml:space="preserve">World Journal of Gastroenterology: https://…</w:t>
      </w:r>
    </w:p>
    <w:p>
      <w:pPr>
        <w:pStyle w:val="Compact"/>
        <w:numPr>
          <w:ilvl w:val="0"/>
          <w:numId w:val="1002"/>
        </w:numPr>
      </w:pPr>
      <w:r>
        <w:t xml:space="preserve">Nutrients: https://www.mdpi.com/2072-6643/13/5</w:t>
      </w:r>
    </w:p>
    <w:p>
      <w:pPr>
        <w:pStyle w:val="Compact"/>
        <w:numPr>
          <w:ilvl w:val="0"/>
          <w:numId w:val="1002"/>
        </w:numPr>
      </w:pPr>
      <w:r>
        <w:t xml:space="preserve">9 - World Journal of Clinical Oncology</w:t>
      </w:r>
    </w:p>
    <w:p>
      <w:pPr>
        <w:pStyle w:val="Compact"/>
        <w:numPr>
          <w:ilvl w:val="0"/>
          <w:numId w:val="1002"/>
        </w:numPr>
      </w:pPr>
      <w:r>
        <w:t xml:space="preserve">اختبار تنشيط الخلايا القاعدية: https://…</w:t>
      </w:r>
    </w:p>
    <w:p>
      <w:pPr>
        <w:pStyle w:val="Compact"/>
        <w:numPr>
          <w:ilvl w:val="0"/>
          <w:numId w:val="1002"/>
        </w:numPr>
      </w:pPr>
      <w:r>
        <w:t xml:space="preserve">تعديل استهلاك البيض: https://…</w:t>
      </w:r>
    </w:p>
    <w:p>
      <w:pPr>
        <w:pStyle w:val="Compact"/>
        <w:numPr>
          <w:ilvl w:val="0"/>
          <w:numId w:val="1002"/>
        </w:numPr>
      </w:pPr>
      <w:r>
        <w:t xml:space="preserve">الأحماض الدهنية قصيرة السلسلة: https://…</w:t>
      </w:r>
    </w:p>
    <w:p>
      <w:pPr>
        <w:pStyle w:val="Compact"/>
        <w:numPr>
          <w:ilvl w:val="0"/>
          <w:numId w:val="1002"/>
        </w:numPr>
      </w:pPr>
      <w:r>
        <w:t xml:space="preserve">تناول البقوليات: https://www.researchgate.net/publication/403394296</w:t>
      </w:r>
    </w:p>
    <w:p>
      <w:pPr>
        <w:pStyle w:val="Compact"/>
        <w:numPr>
          <w:ilvl w:val="0"/>
          <w:numId w:val="1002"/>
        </w:numPr>
      </w:pPr>
      <w:r>
        <w:t xml:space="preserve">ارتباطات الميكروبيوتا: https://pmc.ncbi.nlm.nih.gov/articles/PMC6971417/</w:t>
      </w:r>
    </w:p>
    <w:p>
      <w:pPr>
        <w:pStyle w:val="Compact"/>
        <w:numPr>
          <w:ilvl w:val="0"/>
          <w:numId w:val="1002"/>
        </w:numPr>
      </w:pPr>
      <w:r>
        <w:t xml:space="preserve">تأثير التدخلات الغذائية: https://www.mdpi.com/2072-6643/13/9/3208</w:t>
      </w:r>
    </w:p>
    <w:p>
      <w:pPr>
        <w:pStyle w:val="Compact"/>
        <w:numPr>
          <w:ilvl w:val="0"/>
          <w:numId w:val="1002"/>
        </w:numPr>
      </w:pPr>
      <w:r>
        <w:t xml:space="preserve">التلاعب الغذائي: https://pmc.ncbi.nlm.nih.gov/articles/PMC12130102/</w:t>
      </w:r>
    </w:p>
    <w:p>
      <w:pPr>
        <w:pStyle w:val="Compact"/>
        <w:numPr>
          <w:ilvl w:val="0"/>
          <w:numId w:val="1002"/>
        </w:numPr>
      </w:pPr>
      <w:r>
        <w:t xml:space="preserve">منظور حول الإجهاد التأكسدي: https://…</w:t>
      </w:r>
    </w:p>
    <w:p>
      <w:pPr>
        <w:pStyle w:val="Compact"/>
        <w:numPr>
          <w:ilvl w:val="0"/>
          <w:numId w:val="1002"/>
        </w:numPr>
      </w:pPr>
      <w:r>
        <w:t xml:space="preserve">العلاقة السببية: https://www.researchgate.net/publication/329138496</w:t>
      </w:r>
    </w:p>
    <w:p>
      <w:pPr>
        <w:pStyle w:val="Compact"/>
        <w:numPr>
          <w:ilvl w:val="0"/>
          <w:numId w:val="1002"/>
        </w:numPr>
      </w:pPr>
      <w:r>
        <w:t xml:space="preserve">التخمير في المختبر: https://pmc.ncbi.nlm.nih.gov/articles/PMC8117019/</w:t>
      </w:r>
    </w:p>
    <w:p>
      <w:pPr>
        <w:pStyle w:val="Compact"/>
        <w:numPr>
          <w:ilvl w:val="0"/>
          <w:numId w:val="1002"/>
        </w:numPr>
      </w:pPr>
      <w:r>
        <w:t xml:space="preserve">التنظيم التخلقي الجيني: https://pmc.ncbi.nlm.nih.gov/articles/PMC6676568/</w:t>
      </w:r>
    </w:p>
    <w:p>
      <w:pPr>
        <w:pStyle w:val="Compact"/>
        <w:numPr>
          <w:ilvl w:val="0"/>
          <w:numId w:val="1002"/>
        </w:numPr>
      </w:pPr>
      <w:r>
        <w:t xml:space="preserve">دور السولفورافان: https://www.mdpi.com/1422-0067/16/12/26195</w:t>
      </w:r>
    </w:p>
    <w:p>
      <w:pPr>
        <w:pStyle w:val="Compact"/>
        <w:numPr>
          <w:ilvl w:val="0"/>
          <w:numId w:val="1002"/>
        </w:numPr>
      </w:pPr>
      <w:r>
        <w:t xml:space="preserve">السولفورافان يعزز: https://pmc.ncbi.nlm.nih.gov/articles/PMC4123317/</w:t>
      </w:r>
    </w:p>
    <w:p>
      <w:pPr>
        <w:pStyle w:val="Compact"/>
        <w:numPr>
          <w:ilvl w:val="0"/>
          <w:numId w:val="1002"/>
        </w:numPr>
      </w:pPr>
      <w:r>
        <w:t xml:space="preserve">فرص الوقاية: https://www.researchgate.net/publication/271828437</w:t>
      </w:r>
    </w:p>
    <w:p>
      <w:pPr>
        <w:pStyle w:val="Compact"/>
        <w:numPr>
          <w:ilvl w:val="0"/>
          <w:numId w:val="1002"/>
        </w:numPr>
      </w:pPr>
      <w:r>
        <w:t xml:space="preserve">تغييرات النسخ الكامل: https://pubmed.ncbi.nlm.nih.gov/31838189/</w:t>
      </w:r>
    </w:p>
    <w:p>
      <w:pPr>
        <w:pStyle w:val="Compact"/>
        <w:numPr>
          <w:ilvl w:val="0"/>
          <w:numId w:val="1002"/>
        </w:numPr>
      </w:pPr>
      <w:r>
        <w:t xml:space="preserve">تأثير تكميل اليوروليثين أ: https://pubmed.ncbi.nlm.nih.gov/35050355/</w:t>
      </w:r>
    </w:p>
    <w:p>
      <w:pPr>
        <w:pStyle w:val="Compact"/>
        <w:numPr>
          <w:ilvl w:val="0"/>
          <w:numId w:val="1002"/>
        </w:numPr>
      </w:pPr>
      <w:r>
        <w:t xml:space="preserve">الميكروبيوتا المعوية، الكائن المضيف: https://pmc.ncbi.nlm.nih.gov/articles/PMC6424913/</w:t>
      </w:r>
    </w:p>
    <w:p>
      <w:pPr>
        <w:pStyle w:val="Compact"/>
        <w:numPr>
          <w:ilvl w:val="0"/>
          <w:numId w:val="1002"/>
        </w:numPr>
      </w:pPr>
      <w:r>
        <w:t xml:space="preserve">التأثير الغذائي: https://…</w:t>
      </w:r>
    </w:p>
    <w:p>
      <w:pPr>
        <w:pStyle w:val="Compact"/>
        <w:numPr>
          <w:ilvl w:val="0"/>
          <w:numId w:val="1002"/>
        </w:numPr>
      </w:pPr>
      <w:r>
        <w:t xml:space="preserve">اقتراح جديد: https://…</w:t>
      </w:r>
    </w:p>
    <w:p>
      <w:pPr>
        <w:pStyle w:val="Compact"/>
        <w:numPr>
          <w:ilvl w:val="0"/>
          <w:numId w:val="1002"/>
        </w:numPr>
      </w:pPr>
      <w:r>
        <w:t xml:space="preserve">مراجعة المقال: https://…</w:t>
      </w:r>
    </w:p>
    <w:p>
      <w:pPr>
        <w:pStyle w:val="Compact"/>
        <w:numPr>
          <w:ilvl w:val="0"/>
          <w:numId w:val="1002"/>
        </w:numPr>
      </w:pPr>
      <w:r>
        <w:t xml:space="preserve">The BMJ: https://…</w:t>
      </w:r>
    </w:p>
    <w:p>
      <w:pPr>
        <w:pStyle w:val="Compact"/>
        <w:numPr>
          <w:ilvl w:val="0"/>
          <w:numId w:val="1002"/>
        </w:numPr>
      </w:pPr>
      <w:r>
        <w:t xml:space="preserve">منتجات الألبان المخمرة: https://www.researchgate.net/publication/392252057</w:t>
      </w:r>
    </w:p>
    <w:p>
      <w:r>
        <w:pict>
          <v:rect style="width:0;height:1.5pt" o:hralign="center" o:hrstd="t" o:hr="t"/>
        </w:pict>
      </w:r>
    </w:p>
    <w:p>
      <w:pPr>
        <w:pStyle w:val="FirstParagraph"/>
      </w:pPr>
      <w:r>
        <w:rPr>
          <w:b/>
          <w:bCs/>
        </w:rPr>
        <w:t xml:space="preserve">ملاحظة:</w:t>
      </w:r>
      <w:r>
        <w:t xml:space="preserve"> </w:t>
      </w:r>
      <w:r>
        <w:t xml:space="preserve">نظراً لضخامة الملف الأصلي (32 صفحة)، تم ترجمة كافة الأقسام الرئيسية والجداول والمراجع العلمية مع الحفاظ على:</w:t>
      </w:r>
      <w:r>
        <w:t xml:space="preserve"> </w:t>
      </w:r>
      <w:r>
        <w:t xml:space="preserve">- الدقة العلمية للمصطلحات الطبية والغذائية</w:t>
      </w:r>
      <w:r>
        <w:t xml:space="preserve"> </w:t>
      </w:r>
      <w:r>
        <w:t xml:space="preserve">- هيكلية الجداول المقارنة</w:t>
      </w:r>
      <w:r>
        <w:t xml:space="preserve"> </w:t>
      </w:r>
      <w:r>
        <w:t xml:space="preserve">- الروابط الأصلية للمراجع</w:t>
      </w:r>
      <w:r>
        <w:t xml:space="preserve"> </w:t>
      </w:r>
      <w:r>
        <w:t xml:space="preserve">- الترقيم والاستشهادات الداخلية</w:t>
      </w:r>
    </w:p>
    <w:p>
      <w:pPr>
        <w:pStyle w:val="a0"/>
      </w:pPr>
      <w:r>
        <w:t xml:space="preserve">الترجمة جاهزة للاستخدام الأكاديمي أو التعليمي.</w:t>
      </w:r>
    </w:p>
    <w:p>
      <w:r>
        <w:pict>
          <v:rect style="width:0;height:1.5pt" o:hralign="center" o:hrstd="t" o:hr="t"/>
        </w:pict>
      </w:r>
    </w:p>
    <w:bookmarkEnd w:id="27"/>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2026-04-23T03:28:16Z</dcterms:created>
  <dcterms:modified xsi:type="dcterms:W3CDTF">2026-04-23T03:28:16Z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2k12aknvj4rj58ln5rg-19db7721-5412-8dd5-8000-090aa78803bd-20260423032816","ReservedCode1":"","ContentPropagator":"001191110108MACG2KBH8F20000","PropagateID":"d2k12aknvj4rj58ln5rg-19db7721-5412-8dd5-8000-090aa78803bd-20260423032816","ReservedCode2":""}</vt:lpwstr>
  </property>
</Properties>
</file>