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Kimi:</w:t>
      </w:r>
    </w:p>
    <w:bookmarkStart w:id="21" w:name="Xfde956bda970b80014052d7b3a3c96ad04e15d6"/>
    <w:p>
      <w:pPr>
        <w:pStyle w:val="1"/>
      </w:pPr>
      <w:r>
        <w:t xml:space="preserve">الملف الهجين الشامل: التغذية العلاجية والدواجن والتدخلات الغذائية المتقدمة</w:t>
      </w:r>
    </w:p>
    <w:bookmarkStart w:id="20" w:name="Xe7e8d861c1a619cc08051acc03f3bdacdafdd24"/>
    <w:p>
      <w:pPr>
        <w:pStyle w:val="2"/>
      </w:pPr>
      <w:r>
        <w:t xml:space="preserve">مقدمة: نحو نموذج تغذوي متكامل قائم على الأدلة</w:t>
      </w:r>
    </w:p>
    <w:p>
      <w:pPr>
        <w:pStyle w:val="FirstParagraph"/>
      </w:pPr>
      <w:r>
        <w:t xml:space="preserve">يقدم هذا الملف الهجين تجميعاً منطقياً لأربعة محاور علمية:</w:t>
      </w:r>
      <w:r>
        <w:t xml:space="preserve"> </w:t>
      </w:r>
      <w:r>
        <w:rPr>
          <w:b/>
          <w:bCs/>
        </w:rPr>
        <w:t xml:space="preserve">الدواجن والبيض</w:t>
      </w:r>
      <w:r>
        <w:t xml:space="preserve"> </w:t>
      </w:r>
      <w:r>
        <w:t xml:space="preserve">(الكيمياء الحيوية، السلامة، الهندسة الوراثية)،</w:t>
      </w:r>
      <w:r>
        <w:t xml:space="preserve"> </w:t>
      </w:r>
      <w:r>
        <w:rPr>
          <w:b/>
          <w:bCs/>
        </w:rPr>
        <w:t xml:space="preserve">التغذية العلاجية العامة</w:t>
      </w:r>
      <w:r>
        <w:t xml:space="preserve"> </w:t>
      </w:r>
      <w:r>
        <w:t xml:space="preserve">(تصحيح المفاهيم الخاطئة الشائعة)،</w:t>
      </w:r>
      <w:r>
        <w:t xml:space="preserve"> </w:t>
      </w:r>
      <w:r>
        <w:rPr>
          <w:b/>
          <w:bCs/>
        </w:rPr>
        <w:t xml:space="preserve">التدخلات الغذائية غير التقليدية</w:t>
      </w:r>
      <w:r>
        <w:t xml:space="preserve"> </w:t>
      </w:r>
      <w:r>
        <w:t xml:space="preserve">(مكملات وتقنيات متقدمة)، ومبادئ</w:t>
      </w:r>
      <w:r>
        <w:t xml:space="preserve"> </w:t>
      </w:r>
      <w:r>
        <w:rPr>
          <w:b/>
          <w:bCs/>
        </w:rPr>
        <w:t xml:space="preserve">التباين الفردي والميكروبيوم</w:t>
      </w:r>
      <w:r>
        <w:t xml:space="preserve">. تم إزالة التكرارات، ودمج البيانات المتشابكة في سياق سببي واحد، وتنظيم المحتوى بشكل هرمي يسهل الاستخدام العملي والسريري.</w:t>
      </w:r>
    </w:p>
    <w:p>
      <w:r>
        <w:pict>
          <v:rect style="width:0;height:1.5pt" o:hralign="center" o:hrstd="t" o:hr="t"/>
        </w:pict>
      </w:r>
    </w:p>
    <w:bookmarkEnd w:id="20"/>
    <w:bookmarkEnd w:id="21"/>
    <w:bookmarkStart w:id="41" w:name="X58bfeff9f4d2891628ffdb6761fd8c0de6302a5"/>
    <w:p>
      <w:pPr>
        <w:pStyle w:val="1"/>
      </w:pPr>
      <w:r>
        <w:t xml:space="preserve">القسم الأول: الدواجن والبيض — من الكيمياء الحيوية إلى الهندسة الوراثية</w:t>
      </w:r>
    </w:p>
    <w:bookmarkStart w:id="25" w:name="X073b5fdd27c3b45c2ff11bf31e031a187bac22e"/>
    <w:p>
      <w:pPr>
        <w:pStyle w:val="2"/>
      </w:pPr>
      <w:r>
        <w:t xml:space="preserve">1. علم الطهي الحيوي: كيف يُغيّر الحرارة البيض والدواجن؟</w:t>
      </w:r>
    </w:p>
    <w:bookmarkStart w:id="22" w:name="Xba6728b21d4f603a38a6071351a19cd7ca6565a"/>
    <w:p>
      <w:pPr>
        <w:pStyle w:val="3"/>
      </w:pPr>
      <w:r>
        <w:t xml:space="preserve">أ. الإفساد البروتيني وقابلية الهضم — البيض المطبوخ vs النيء</w:t>
      </w:r>
    </w:p>
    <w:p>
      <w:pPr>
        <w:pStyle w:val="FirstParagraph"/>
      </w:pPr>
      <w:r>
        <w:t xml:space="preserve">يُعد البيض نموذجاً مثالياً لفهم كيف أن المعالجة الحرارية ليست مجرد</w:t>
      </w:r>
      <w:r>
        <w:t xml:space="preserve"> </w:t>
      </w:r>
      <w:r>
        <w:t xml:space="preserve">“</w:t>
      </w:r>
      <w:r>
        <w:t xml:space="preserve">طهي</w:t>
      </w:r>
      <w:r>
        <w:t xml:space="preserve">”</w:t>
      </w:r>
      <w:r>
        <w:t xml:space="preserve"> </w:t>
      </w:r>
      <w:r>
        <w:t xml:space="preserve">بل</w:t>
      </w:r>
      <w:r>
        <w:t xml:space="preserve"> </w:t>
      </w:r>
      <w:r>
        <w:rPr>
          <w:b/>
          <w:bCs/>
        </w:rPr>
        <w:t xml:space="preserve">تعديل كيميائي حيوي</w:t>
      </w:r>
      <w:r>
        <w:t xml:space="preserve"> </w:t>
      </w:r>
      <w:r>
        <w:t xml:space="preserve">يحدد القيمة الغذائية النهائية.</w:t>
      </w:r>
    </w:p>
    <w:tbl>
      <w:tblPr>
        <w:tblStyle w:val="Table"/>
        <w:tblW w:type="pct" w:w="5000"/>
        <w:jc w:val="left"/>
        <w:tblLayout w:type="fixed"/>
        <w:tblLook w:firstRow="1" w:lastRow="0" w:firstColumn="0" w:lastColumn="0" w:noHBand="0" w:noVBand="0" w:val="0020"/>
      </w:tblPr>
      <w:tblGrid>
        <w:gridCol w:w="1228"/>
        <w:gridCol w:w="1775"/>
        <w:gridCol w:w="2867"/>
        <w:gridCol w:w="2048"/>
      </w:tblGrid>
      <w:tr>
        <w:trPr>
          <w:tblHeader w:val="on"/>
        </w:trPr>
        <w:tc>
          <w:tcPr/>
          <w:p>
            <w:pPr>
              <w:pStyle w:val="Compact"/>
              <w:jc w:val="left"/>
            </w:pPr>
            <w:r>
              <w:t xml:space="preserve">المعيار</w:t>
            </w:r>
          </w:p>
        </w:tc>
        <w:tc>
          <w:tcPr/>
          <w:p>
            <w:pPr>
              <w:pStyle w:val="Compact"/>
              <w:jc w:val="left"/>
            </w:pPr>
            <w:r>
              <w:t xml:space="preserve">البيض النيء</w:t>
            </w:r>
          </w:p>
        </w:tc>
        <w:tc>
          <w:tcPr/>
          <w:p>
            <w:pPr>
              <w:pStyle w:val="Compact"/>
              <w:jc w:val="left"/>
            </w:pPr>
            <w:r>
              <w:t xml:space="preserve">البيض المطبوخ جيداً</w:t>
            </w:r>
          </w:p>
        </w:tc>
        <w:tc>
          <w:tcPr/>
          <w:p>
            <w:pPr>
              <w:pStyle w:val="Compact"/>
              <w:jc w:val="left"/>
            </w:pPr>
            <w:r>
              <w:t xml:space="preserve">الدليل العلمي</w:t>
            </w:r>
          </w:p>
        </w:tc>
      </w:tr>
      <w:tr>
        <w:tc>
          <w:tcPr/>
          <w:p>
            <w:pPr>
              <w:pStyle w:val="Compact"/>
              <w:jc w:val="left"/>
            </w:pPr>
            <w:r>
              <w:rPr>
                <w:b/>
                <w:bCs/>
              </w:rPr>
              <w:t xml:space="preserve">قابلية الهضم في اللفائفي</w:t>
            </w:r>
          </w:p>
        </w:tc>
        <w:tc>
          <w:tcPr/>
          <w:p>
            <w:pPr>
              <w:pStyle w:val="Compact"/>
              <w:jc w:val="left"/>
            </w:pPr>
            <w:r>
              <w:t xml:space="preserve">51.3 ± 9.8%</w:t>
            </w:r>
          </w:p>
        </w:tc>
        <w:tc>
          <w:tcPr/>
          <w:p>
            <w:pPr>
              <w:pStyle w:val="Compact"/>
              <w:jc w:val="left"/>
            </w:pPr>
            <w:r>
              <w:t xml:space="preserve">90.9 ± 0.8%</w:t>
            </w:r>
          </w:p>
        </w:tc>
        <w:tc>
          <w:tcPr/>
          <w:p>
            <w:pPr>
              <w:pStyle w:val="Compact"/>
              <w:jc w:val="left"/>
            </w:pPr>
            <w:r>
              <w:t xml:space="preserve">تجربة Evenepoel 1998 باستخدام النظائر المستقرة</w:t>
            </w:r>
          </w:p>
        </w:tc>
      </w:tr>
      <w:tr>
        <w:tc>
          <w:tcPr/>
          <w:p>
            <w:pPr>
              <w:pStyle w:val="Compact"/>
              <w:jc w:val="left"/>
            </w:pPr>
            <w:r>
              <w:rPr>
                <w:b/>
                <w:bCs/>
              </w:rPr>
              <w:t xml:space="preserve">معدل امتصاص الأحماض الأمينية</w:t>
            </w:r>
          </w:p>
        </w:tc>
        <w:tc>
          <w:tcPr/>
          <w:p>
            <w:pPr>
              <w:pStyle w:val="Compact"/>
              <w:jc w:val="left"/>
            </w:pPr>
            <w:r>
              <w:t xml:space="preserve">بطيء وغير مكتمل</w:t>
            </w:r>
          </w:p>
        </w:tc>
        <w:tc>
          <w:tcPr/>
          <w:p>
            <w:pPr>
              <w:pStyle w:val="Compact"/>
              <w:jc w:val="left"/>
            </w:pPr>
            <w:r>
              <w:t xml:space="preserve">سريع وشبه كامل</w:t>
            </w:r>
          </w:p>
        </w:tc>
        <w:tc>
          <w:tcPr/>
          <w:p>
            <w:pPr>
              <w:pStyle w:val="Compact"/>
              <w:jc w:val="left"/>
            </w:pPr>
            <w:r>
              <w:t xml:space="preserve">نفس المرجع</w:t>
            </w:r>
          </w:p>
        </w:tc>
      </w:tr>
      <w:tr>
        <w:tc>
          <w:tcPr/>
          <w:p>
            <w:pPr>
              <w:pStyle w:val="Compact"/>
              <w:jc w:val="left"/>
            </w:pPr>
            <w:r>
              <w:rPr>
                <w:b/>
                <w:bCs/>
              </w:rPr>
              <w:t xml:space="preserve">تحفيز تخليق البروتين العضلي</w:t>
            </w:r>
          </w:p>
        </w:tc>
        <w:tc>
          <w:tcPr/>
          <w:p>
            <w:pPr>
              <w:pStyle w:val="Compact"/>
              <w:jc w:val="left"/>
            </w:pPr>
            <w:r>
              <w:t xml:space="preserve">منخفض نسبياً</w:t>
            </w:r>
          </w:p>
        </w:tc>
        <w:tc>
          <w:tcPr/>
          <w:p>
            <w:pPr>
              <w:pStyle w:val="Compact"/>
              <w:jc w:val="left"/>
            </w:pPr>
            <w:r>
              <w:t xml:space="preserve">أعلى بنسبة ~40%</w:t>
            </w:r>
          </w:p>
        </w:tc>
        <w:tc>
          <w:tcPr/>
          <w:p>
            <w:pPr>
              <w:pStyle w:val="Compact"/>
              <w:jc w:val="left"/>
            </w:pPr>
            <w:r>
              <w:t xml:space="preserve">أبحاث لاحقة على الرياضيين</w:t>
            </w:r>
          </w:p>
        </w:tc>
      </w:tr>
      <w:tr>
        <w:tc>
          <w:tcPr/>
          <w:p>
            <w:pPr>
              <w:pStyle w:val="Compact"/>
              <w:jc w:val="left"/>
            </w:pPr>
            <w:r>
              <w:rPr>
                <w:b/>
                <w:bCs/>
              </w:rPr>
              <w:t xml:space="preserve">التوافر الحيوي للبيوتين</w:t>
            </w:r>
          </w:p>
        </w:tc>
        <w:tc>
          <w:tcPr/>
          <w:p>
            <w:pPr>
              <w:pStyle w:val="Compact"/>
              <w:jc w:val="left"/>
            </w:pPr>
            <w:r>
              <w:t xml:space="preserve">منخفض جداً</w:t>
            </w:r>
          </w:p>
        </w:tc>
        <w:tc>
          <w:tcPr/>
          <w:p>
            <w:pPr>
              <w:pStyle w:val="Compact"/>
              <w:jc w:val="left"/>
            </w:pPr>
            <w:r>
              <w:t xml:space="preserve">مرتفع</w:t>
            </w:r>
          </w:p>
        </w:tc>
        <w:tc>
          <w:tcPr/>
          <w:p>
            <w:pPr>
              <w:pStyle w:val="Compact"/>
              <w:jc w:val="left"/>
            </w:pPr>
            <w:r>
              <w:t xml:space="preserve">تعطيل الأفيدين (Avidin) بالحرارة</w:t>
            </w:r>
          </w:p>
        </w:tc>
      </w:tr>
      <w:tr>
        <w:tc>
          <w:tcPr/>
          <w:p>
            <w:pPr>
              <w:pStyle w:val="Compact"/>
              <w:jc w:val="left"/>
            </w:pPr>
            <w:r>
              <w:rPr>
                <w:b/>
                <w:bCs/>
              </w:rPr>
              <w:t xml:space="preserve">التعرض للسالمونيلا</w:t>
            </w:r>
          </w:p>
        </w:tc>
        <w:tc>
          <w:tcPr/>
          <w:p>
            <w:pPr>
              <w:pStyle w:val="Compact"/>
              <w:jc w:val="left"/>
            </w:pPr>
            <w:r>
              <w:t xml:space="preserve">مرتفع</w:t>
            </w:r>
          </w:p>
        </w:tc>
        <w:tc>
          <w:tcPr/>
          <w:p>
            <w:pPr>
              <w:pStyle w:val="Compact"/>
              <w:jc w:val="left"/>
            </w:pPr>
            <w:r>
              <w:t xml:space="preserve">منخفض جداً (إذا طُهي &gt;74°م)</w:t>
            </w:r>
          </w:p>
        </w:tc>
        <w:tc>
          <w:tcPr/>
          <w:p>
            <w:pPr>
              <w:pStyle w:val="Compact"/>
              <w:jc w:val="left"/>
            </w:pPr>
            <w:r>
              <w:t xml:space="preserve">EFSA</w:t>
            </w:r>
          </w:p>
        </w:tc>
      </w:tr>
    </w:tbl>
    <w:p>
      <w:pPr>
        <w:pStyle w:val="a0"/>
      </w:pPr>
      <w:r>
        <w:rPr>
          <w:b/>
          <w:bCs/>
        </w:rPr>
        <w:t xml:space="preserve">الآليات الكيميائية الحيوية وراء هذه الفروق:</w:t>
      </w:r>
    </w:p>
    <w:p>
      <w:pPr>
        <w:pStyle w:val="Compact"/>
        <w:numPr>
          <w:ilvl w:val="0"/>
          <w:numId w:val="1001"/>
        </w:numPr>
      </w:pPr>
      <w:r>
        <w:rPr>
          <w:b/>
          <w:bCs/>
        </w:rPr>
        <w:t xml:space="preserve">إفساد البنية الثلاثية والرباعية:</w:t>
      </w:r>
      <w:r>
        <w:t xml:space="preserve"> </w:t>
      </w:r>
      <w:r>
        <w:t xml:space="preserve">الحرارة (&gt;60–70°م) تكسر الروابط الهيدروجينية والجسور الثنائية الكبريتية، مما يكشف مواقع الشق الإنزيمية (للببسين والتربسين والكيموتربسين) التي كانت مخفية داخل البنية المطوية.</w:t>
      </w:r>
    </w:p>
    <w:p>
      <w:pPr>
        <w:pStyle w:val="Compact"/>
        <w:numPr>
          <w:ilvl w:val="0"/>
          <w:numId w:val="1001"/>
        </w:numPr>
      </w:pPr>
      <w:r>
        <w:rPr>
          <w:b/>
          <w:bCs/>
        </w:rPr>
        <w:t xml:space="preserve">تعطيل مثبطات الإنزيمات:</w:t>
      </w:r>
      <w:r>
        <w:t xml:space="preserve"> </w:t>
      </w:r>
      <w:r>
        <w:t xml:space="preserve">بياض البيض النيء يحتوي على</w:t>
      </w:r>
      <w:r>
        <w:t xml:space="preserve"> </w:t>
      </w:r>
      <w:r>
        <w:rPr>
          <w:b/>
          <w:bCs/>
        </w:rPr>
        <w:t xml:space="preserve">أوفوموكويد</w:t>
      </w:r>
      <w:r>
        <w:t xml:space="preserve"> </w:t>
      </w:r>
      <w:r>
        <w:t xml:space="preserve">(مثبط للتربسين) و</w:t>
      </w:r>
      <w:r>
        <w:rPr>
          <w:b/>
          <w:bCs/>
        </w:rPr>
        <w:t xml:space="preserve">أوفوستاتين</w:t>
      </w:r>
      <w:r>
        <w:t xml:space="preserve"> </w:t>
      </w:r>
      <w:r>
        <w:t xml:space="preserve">(مثبط للكيموتربسين). التسخين الكافي يُضعف نشاطها الجزئي.</w:t>
      </w:r>
    </w:p>
    <w:p>
      <w:pPr>
        <w:pStyle w:val="Compact"/>
        <w:numPr>
          <w:ilvl w:val="0"/>
          <w:numId w:val="1001"/>
        </w:numPr>
      </w:pPr>
      <w:r>
        <w:rPr>
          <w:b/>
          <w:bCs/>
        </w:rPr>
        <w:t xml:space="preserve">تعطيل الأفيدين:</w:t>
      </w:r>
      <w:r>
        <w:t xml:space="preserve"> </w:t>
      </w:r>
      <w:r>
        <w:t xml:space="preserve">بروتين الأفيدين يرتبط بقوة فائقة (ثابت ارتباط ~10¹⁵ M⁻¹) بفيتامين البيوتين، مكوناً معقداً غير قابل للامتصاص. الحرارة تُفقده هذه القدرة.</w:t>
      </w:r>
    </w:p>
    <w:bookmarkEnd w:id="22"/>
    <w:bookmarkStart w:id="23" w:name="X6a2e36bb55c43498b7fce4ab903c06e697ae015"/>
    <w:p>
      <w:pPr>
        <w:pStyle w:val="3"/>
      </w:pPr>
      <w:r>
        <w:t xml:space="preserve">ب. مضادات الأكسدة وحساسية طريقة الطهي — القلي vs السلق</w:t>
      </w:r>
    </w:p>
    <w:p>
      <w:pPr>
        <w:pStyle w:val="FirstParagraph"/>
      </w:pPr>
      <w:r>
        <w:t xml:space="preserve">بينما يحسن الطهي الهضم البروتيني، فإن</w:t>
      </w:r>
      <w:r>
        <w:t xml:space="preserve"> </w:t>
      </w:r>
      <w:r>
        <w:rPr>
          <w:b/>
          <w:bCs/>
        </w:rPr>
        <w:t xml:space="preserve">طريقة الطهي</w:t>
      </w:r>
      <w:r>
        <w:t xml:space="preserve"> </w:t>
      </w:r>
      <w:r>
        <w:t xml:space="preserve">تؤثر بشكل حاسم على توافر مضادات الأكسدة:</w:t>
      </w:r>
    </w:p>
    <w:p>
      <w:pPr>
        <w:pStyle w:val="Compact"/>
        <w:numPr>
          <w:ilvl w:val="0"/>
          <w:numId w:val="1002"/>
        </w:numPr>
      </w:pPr>
      <w:r>
        <w:rPr>
          <w:b/>
          <w:bCs/>
        </w:rPr>
        <w:t xml:space="preserve">السلق (Boiling):</w:t>
      </w:r>
      <w:r>
        <w:t xml:space="preserve"> </w:t>
      </w:r>
      <w:r>
        <w:t xml:space="preserve">يحافظ على</w:t>
      </w:r>
      <w:r>
        <w:t xml:space="preserve"> </w:t>
      </w:r>
      <w:r>
        <w:rPr>
          <w:b/>
          <w:bCs/>
        </w:rPr>
        <w:t xml:space="preserve">all-E-lutein</w:t>
      </w:r>
      <w:r>
        <w:t xml:space="preserve"> </w:t>
      </w:r>
      <w:r>
        <w:t xml:space="preserve">و</w:t>
      </w:r>
      <w:r>
        <w:rPr>
          <w:b/>
          <w:bCs/>
        </w:rPr>
        <w:t xml:space="preserve">all-E-zeaxanthin</w:t>
      </w:r>
      <w:r>
        <w:t xml:space="preserve"> </w:t>
      </w:r>
      <w:r>
        <w:t xml:space="preserve">(الصبغات الم protectة للعين) بشكل أفضل لأنها تقلل من تعرض الدهون والصبغات للأكسدة المباشرة.</w:t>
      </w:r>
    </w:p>
    <w:p>
      <w:pPr>
        <w:pStyle w:val="Compact"/>
        <w:numPr>
          <w:ilvl w:val="0"/>
          <w:numId w:val="1002"/>
        </w:numPr>
      </w:pPr>
      <w:r>
        <w:rPr>
          <w:b/>
          <w:bCs/>
        </w:rPr>
        <w:t xml:space="preserve">القلي/التحريك (Scrambling):</w:t>
      </w:r>
      <w:r>
        <w:t xml:space="preserve"> </w:t>
      </w:r>
      <w:r>
        <w:t xml:space="preserve">يقلل بشكل ملحوظ من</w:t>
      </w:r>
      <w:r>
        <w:t xml:space="preserve"> </w:t>
      </w:r>
      <w:r>
        <w:rPr>
          <w:b/>
          <w:bCs/>
        </w:rPr>
        <w:t xml:space="preserve">bioaccessibility</w:t>
      </w:r>
      <w:r>
        <w:t xml:space="preserve"> </w:t>
      </w:r>
      <w:r>
        <w:t xml:space="preserve">(التوافر الحيوي) لهذه المضادات لأن عملية الخفق والتعرض للهواء والحرارة العالية يؤكسد الليبيدات الحاملة للصبغات.</w:t>
      </w:r>
    </w:p>
    <w:p>
      <w:pPr>
        <w:pStyle w:val="aa"/>
      </w:pPr>
      <w:r>
        <w:rPr>
          <w:b/>
          <w:bCs/>
        </w:rPr>
        <w:t xml:space="preserve">الاستنتاج العملي:</w:t>
      </w:r>
      <w:r>
        <w:t xml:space="preserve"> </w:t>
      </w:r>
      <w:r>
        <w:t xml:space="preserve">إذا كان الهدف هو</w:t>
      </w:r>
      <w:r>
        <w:t xml:space="preserve"> </w:t>
      </w:r>
      <w:r>
        <w:rPr>
          <w:b/>
          <w:bCs/>
        </w:rPr>
        <w:t xml:space="preserve">بناء العضلات والهضم الأمثل</w:t>
      </w:r>
      <w:r>
        <w:t xml:space="preserve"> </w:t>
      </w:r>
      <w:r>
        <w:t xml:space="preserve">— الطهي الشامل مطلوب. إذا كان الهدف هو</w:t>
      </w:r>
      <w:r>
        <w:t xml:space="preserve"> </w:t>
      </w:r>
      <w:r>
        <w:rPr>
          <w:b/>
          <w:bCs/>
        </w:rPr>
        <w:t xml:space="preserve">حماية العين والاستفادة القصوى من مضادات الأكسدة</w:t>
      </w:r>
      <w:r>
        <w:t xml:space="preserve"> </w:t>
      </w:r>
      <w:r>
        <w:t xml:space="preserve">— السلق أفضل من القلي أو الخفق المفرط.</w:t>
      </w:r>
    </w:p>
    <w:bookmarkEnd w:id="23"/>
    <w:bookmarkStart w:id="24" w:name="X3f855d2c3fc0904a6a22304f1f4f8cd77b8b068"/>
    <w:p>
      <w:pPr>
        <w:pStyle w:val="3"/>
      </w:pPr>
      <w:r>
        <w:t xml:space="preserve">ج. السلامة الميكروبيولوجية: ديناميكيات قتل السالمونيلا</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درجة الحرارة</w:t>
            </w:r>
          </w:p>
        </w:tc>
        <w:tc>
          <w:tcPr/>
          <w:p>
            <w:pPr>
              <w:pStyle w:val="Compact"/>
              <w:jc w:val="left"/>
            </w:pPr>
            <w:r>
              <w:t xml:space="preserve">الوقت اللازم للقضاء على السالمونيلا</w:t>
            </w:r>
          </w:p>
        </w:tc>
      </w:tr>
      <w:tr>
        <w:tc>
          <w:tcPr/>
          <w:p>
            <w:pPr>
              <w:pStyle w:val="Compact"/>
              <w:jc w:val="left"/>
            </w:pPr>
            <w:r>
              <w:rPr>
                <w:b/>
                <w:bCs/>
              </w:rPr>
              <w:t xml:space="preserve">74°م (165°ف)</w:t>
            </w:r>
          </w:p>
        </w:tc>
        <w:tc>
          <w:tcPr/>
          <w:p>
            <w:pPr>
              <w:pStyle w:val="Compact"/>
              <w:jc w:val="left"/>
            </w:pPr>
            <w:r>
              <w:t xml:space="preserve">قتل فوري (&lt; 1 ثانية)</w:t>
            </w:r>
          </w:p>
        </w:tc>
      </w:tr>
      <w:tr>
        <w:tc>
          <w:tcPr/>
          <w:p>
            <w:pPr>
              <w:pStyle w:val="Compact"/>
              <w:jc w:val="left"/>
            </w:pPr>
            <w:r>
              <w:rPr>
                <w:b/>
                <w:bCs/>
              </w:rPr>
              <w:t xml:space="preserve">62°م (144°ف)</w:t>
            </w:r>
          </w:p>
        </w:tc>
        <w:tc>
          <w:tcPr/>
          <w:p>
            <w:pPr>
              <w:pStyle w:val="Compact"/>
              <w:jc w:val="left"/>
            </w:pPr>
            <w:r>
              <w:t xml:space="preserve">30 دقيقة على الأقل</w:t>
            </w:r>
          </w:p>
        </w:tc>
      </w:tr>
      <w:tr>
        <w:tc>
          <w:tcPr/>
          <w:p>
            <w:pPr>
              <w:pStyle w:val="Compact"/>
              <w:jc w:val="left"/>
            </w:pPr>
            <w:r>
              <w:rPr>
                <w:b/>
                <w:bCs/>
              </w:rPr>
              <w:t xml:space="preserve">57°م (135°ف)</w:t>
            </w:r>
          </w:p>
        </w:tc>
        <w:tc>
          <w:tcPr/>
          <w:p>
            <w:pPr>
              <w:pStyle w:val="Compact"/>
              <w:jc w:val="left"/>
            </w:pPr>
            <w:r>
              <w:t xml:space="preserve">ساعات (غير عملي)</w:t>
            </w:r>
          </w:p>
        </w:tc>
      </w:tr>
    </w:tbl>
    <w:p>
      <w:pPr>
        <w:pStyle w:val="a0"/>
      </w:pPr>
      <w:r>
        <w:rPr>
          <w:b/>
          <w:bCs/>
        </w:rPr>
        <w:t xml:space="preserve">التوصيات العملية:</w:t>
      </w:r>
      <w:r>
        <w:t xml:space="preserve"> </w:t>
      </w:r>
      <w:r>
        <w:t xml:space="preserve">-</w:t>
      </w:r>
      <w:r>
        <w:t xml:space="preserve"> </w:t>
      </w:r>
      <w:r>
        <w:rPr>
          <w:b/>
          <w:bCs/>
        </w:rPr>
        <w:t xml:space="preserve">البيض المسلوق جيداً:</w:t>
      </w:r>
      <w:r>
        <w:t xml:space="preserve"> </w:t>
      </w:r>
      <w:r>
        <w:t xml:space="preserve">صفار وبياض صلبان تماماً يضمنان وصول جميع الأجزاء لـ &gt;74°م.</w:t>
      </w:r>
      <w:r>
        <w:t xml:space="preserve"> </w:t>
      </w:r>
      <w:r>
        <w:t xml:space="preserve">-</w:t>
      </w:r>
      <w:r>
        <w:t xml:space="preserve"> </w:t>
      </w:r>
      <w:r>
        <w:rPr>
          <w:b/>
          <w:bCs/>
        </w:rPr>
        <w:t xml:space="preserve">البيض نصف المسلوق (</w:t>
      </w:r>
      <w:r>
        <w:rPr>
          <w:b/>
          <w:bCs/>
        </w:rPr>
        <w:t xml:space="preserve">“</w:t>
      </w:r>
      <w:r>
        <w:rPr>
          <w:b/>
          <w:bCs/>
        </w:rPr>
        <w:t xml:space="preserve">العين الجميلة</w:t>
      </w:r>
      <w:r>
        <w:rPr>
          <w:b/>
          <w:bCs/>
        </w:rPr>
        <w:t xml:space="preserve">”</w:t>
      </w:r>
      <w:r>
        <w:rPr>
          <w:b/>
          <w:bCs/>
        </w:rPr>
        <w:t xml:space="preserve">):</w:t>
      </w:r>
      <w:r>
        <w:t xml:space="preserve"> </w:t>
      </w:r>
      <w:r>
        <w:t xml:space="preserve">يحمل خطراً متبقياً إذا لم تصل درجة حرارة الصفار لـ 62°م لمدة 30 دقيقة. يُنصح بتجنبه للأطفال، الحوامل، كبار السن، وضعاف المناعة.</w:t>
      </w:r>
      <w:r>
        <w:t xml:space="preserve"> </w:t>
      </w:r>
      <w:r>
        <w:t xml:space="preserve">-</w:t>
      </w:r>
      <w:r>
        <w:t xml:space="preserve"> </w:t>
      </w:r>
      <w:r>
        <w:rPr>
          <w:b/>
          <w:bCs/>
        </w:rPr>
        <w:t xml:space="preserve">البيض المبستر:</w:t>
      </w:r>
      <w:r>
        <w:t xml:space="preserve"> </w:t>
      </w:r>
      <w:r>
        <w:t xml:space="preserve">المعالجة الحرارية الخاضعة للرقابة (60–65°م لعدة دقائق) تقضي على الممرضات مع الحفاظ على الخصائص الوظيفية للبروتينات، مما يجعله آمناً للوصفات التي تتطلب بيضاً غير مطبوخ بالكامل (مايونيز منزلي، موس الشوكولاتة).</w:t>
      </w:r>
    </w:p>
    <w:p>
      <w:r>
        <w:pict>
          <v:rect style="width:0;height:1.5pt" o:hralign="center" o:hrstd="t" o:hr="t"/>
        </w:pict>
      </w:r>
    </w:p>
    <w:bookmarkEnd w:id="24"/>
    <w:bookmarkEnd w:id="25"/>
    <w:bookmarkStart w:id="30" w:name="X72d38328e5d43c8f4818a7120e4ce5604d15b73"/>
    <w:p>
      <w:pPr>
        <w:pStyle w:val="2"/>
      </w:pPr>
      <w:r>
        <w:t xml:space="preserve">2. الجينات والتقنية الحيوية: ثورة في إنتاج الدواجن</w:t>
      </w:r>
    </w:p>
    <w:bookmarkStart w:id="26" w:name="X07a97fda7f3e1b45f90e3ee59101a1a41226ef8"/>
    <w:p>
      <w:pPr>
        <w:pStyle w:val="3"/>
      </w:pPr>
      <w:r>
        <w:t xml:space="preserve">أ. السلالات المحلية vs التجارية السريعة النمو</w:t>
      </w:r>
    </w:p>
    <w:p>
      <w:pPr>
        <w:pStyle w:val="FirstParagraph"/>
      </w:pPr>
      <w:r>
        <w:t xml:space="preserve">أظهرت الأبحاث الحديثة أن:</w:t>
      </w:r>
      <w:r>
        <w:t xml:space="preserve"> </w:t>
      </w:r>
      <w:r>
        <w:t xml:space="preserve">-</w:t>
      </w:r>
      <w:r>
        <w:t xml:space="preserve"> </w:t>
      </w:r>
      <w:r>
        <w:rPr>
          <w:b/>
          <w:bCs/>
        </w:rPr>
        <w:t xml:space="preserve">السلالات المحلية القديمة والتهجينات المحددة</w:t>
      </w:r>
      <w:r>
        <w:t xml:space="preserve"> </w:t>
      </w:r>
      <w:r>
        <w:t xml:space="preserve">تنتج لحوماً أغنى بالأحماض الأمينية الأساسية، العناصر النزرة، والأحماض الدهنية متعددة غير المشبعة المرغوبة (PUFA).</w:t>
      </w:r>
      <w:r>
        <w:t xml:space="preserve"> </w:t>
      </w:r>
      <w:r>
        <w:t xml:space="preserve">-</w:t>
      </w:r>
      <w:r>
        <w:t xml:space="preserve"> </w:t>
      </w:r>
      <w:r>
        <w:rPr>
          <w:b/>
          <w:bCs/>
        </w:rPr>
        <w:t xml:space="preserve">الدواجن التجارية السريعة النمو:</w:t>
      </w:r>
      <w:r>
        <w:t xml:space="preserve"> </w:t>
      </w:r>
      <w:r>
        <w:t xml:space="preserve">نتجت عن</w:t>
      </w:r>
      <w:r>
        <w:t xml:space="preserve"> </w:t>
      </w:r>
      <w:r>
        <w:rPr>
          <w:b/>
          <w:bCs/>
        </w:rPr>
        <w:t xml:space="preserve">تحسين وراثي وتغذوي</w:t>
      </w:r>
      <w:r>
        <w:t xml:space="preserve"> </w:t>
      </w:r>
      <w:r>
        <w:t xml:space="preserve">(وليس هرمونات خارجية كما يُعتقد شائعاً)، لكنها تعاني من اعتلالات عضلية (الصدر الخشبي، التخطيط الأبيض) تؤثر على النسيج والقيمة الغذائية.</w:t>
      </w:r>
    </w:p>
    <w:bookmarkEnd w:id="26"/>
    <w:bookmarkStart w:id="27" w:name="Xcc17618b8b5f428e39a02fc514869c499f9d74d"/>
    <w:p>
      <w:pPr>
        <w:pStyle w:val="3"/>
      </w:pPr>
      <w:r>
        <w:t xml:space="preserve">ب. اعتلال الصدر الخشبي (Woody Breast): من الآلية الجزيئية إلى الذكاء الاصطناعي</w:t>
      </w:r>
    </w:p>
    <w:p>
      <w:pPr>
        <w:pStyle w:val="Compact"/>
        <w:numPr>
          <w:ilvl w:val="0"/>
          <w:numId w:val="1003"/>
        </w:numPr>
      </w:pPr>
      <w:r>
        <w:rPr>
          <w:b/>
          <w:bCs/>
        </w:rPr>
        <w:t xml:space="preserve">الآلية الجزيئية (2025–2026):</w:t>
      </w:r>
      <w:r>
        <w:t xml:space="preserve"> </w:t>
      </w:r>
      <w:r>
        <w:t xml:space="preserve">تم تحديد</w:t>
      </w:r>
      <w:r>
        <w:t xml:space="preserve"> </w:t>
      </w:r>
      <w:r>
        <w:rPr>
          <w:b/>
          <w:bCs/>
        </w:rPr>
        <w:t xml:space="preserve">حمولة الكالسيوم الميتوكوندري الزائدة</w:t>
      </w:r>
      <w:r>
        <w:t xml:space="preserve"> </w:t>
      </w:r>
      <w:r>
        <w:t xml:space="preserve">والنقص التالي في الأكسجة الخلوية (cellular hypoxia) كآليتين رئيسيتين وراء اعتلال العضلات في الدواجن سريعة النمو.</w:t>
      </w:r>
    </w:p>
    <w:p>
      <w:pPr>
        <w:pStyle w:val="Compact"/>
        <w:numPr>
          <w:ilvl w:val="0"/>
          <w:numId w:val="1003"/>
        </w:numPr>
      </w:pPr>
      <w:r>
        <w:rPr>
          <w:b/>
          <w:bCs/>
        </w:rPr>
        <w:t xml:space="preserve">الحل التقني:</w:t>
      </w:r>
      <w:r>
        <w:t xml:space="preserve"> </w:t>
      </w:r>
      <w:r>
        <w:t xml:space="preserve">يتم نشر كاميرات</w:t>
      </w:r>
      <w:r>
        <w:t xml:space="preserve"> </w:t>
      </w:r>
      <w:r>
        <w:rPr>
          <w:b/>
          <w:bCs/>
        </w:rPr>
        <w:t xml:space="preserve">طيفية فائقة (Hyperspectral)</w:t>
      </w:r>
      <w:r>
        <w:t xml:space="preserve"> </w:t>
      </w:r>
      <w:r>
        <w:t xml:space="preserve">مزودة بتعلم آلي (Machine Learning) لـ</w:t>
      </w:r>
      <w:r>
        <w:t xml:space="preserve"> </w:t>
      </w:r>
      <w:r>
        <w:t xml:space="preserve">“</w:t>
      </w:r>
      <w:r>
        <w:t xml:space="preserve">رؤية</w:t>
      </w:r>
      <w:r>
        <w:t xml:space="preserve">”</w:t>
      </w:r>
      <w:r>
        <w:t xml:space="preserve"> </w:t>
      </w:r>
      <w:r>
        <w:t xml:space="preserve">داخل اللحم واكتشاف الصدر الخشبي بدقة</w:t>
      </w:r>
      <w:r>
        <w:t xml:space="preserve"> </w:t>
      </w:r>
      <w:r>
        <w:rPr>
          <w:b/>
          <w:bCs/>
        </w:rPr>
        <w:t xml:space="preserve">95%</w:t>
      </w:r>
      <w:r>
        <w:t xml:space="preserve">. يتم تحويل اللحم المكتشف إلى دجاج مفروم حيث لا يُلاحظ العيب النسيجي.</w:t>
      </w:r>
    </w:p>
    <w:bookmarkEnd w:id="27"/>
    <w:bookmarkStart w:id="28" w:name="ج.-بيض-المستحضرات-الدوائية-pharm-eggs"/>
    <w:p>
      <w:pPr>
        <w:pStyle w:val="3"/>
      </w:pPr>
      <w:r>
        <w:t xml:space="preserve">ج. بيض المستحضرات الدوائية (Pharm Eggs)</w:t>
      </w:r>
    </w:p>
    <w:p>
      <w:pPr>
        <w:pStyle w:val="FirstParagraph"/>
      </w:pPr>
      <w:r>
        <w:t xml:space="preserve">في قفزة تقنية حيوية ضخمة، تم تحرير جينوم الدجاج باستخدام CRISPR بحيث تضع</w:t>
      </w:r>
      <w:r>
        <w:t xml:space="preserve"> </w:t>
      </w:r>
      <w:r>
        <w:rPr>
          <w:b/>
          <w:bCs/>
        </w:rPr>
        <w:t xml:space="preserve">بروتينات بشرية علاجية مركزة</w:t>
      </w:r>
      <w:r>
        <w:t xml:space="preserve"> </w:t>
      </w:r>
      <w:r>
        <w:t xml:space="preserve">في بياض البيض، منها:</w:t>
      </w:r>
      <w:r>
        <w:t xml:space="preserve"> </w:t>
      </w:r>
      <w:r>
        <w:t xml:space="preserve">-</w:t>
      </w:r>
      <w:r>
        <w:t xml:space="preserve"> </w:t>
      </w:r>
      <w:r>
        <w:rPr>
          <w:b/>
          <w:bCs/>
        </w:rPr>
        <w:t xml:space="preserve">IFNalpha2a:</w:t>
      </w:r>
      <w:r>
        <w:t xml:space="preserve"> </w:t>
      </w:r>
      <w:r>
        <w:t xml:space="preserve">بروتين له تأثيرات مضادة للفيروسات والسرطان.</w:t>
      </w:r>
      <w:r>
        <w:t xml:space="preserve"> </w:t>
      </w:r>
      <w:r>
        <w:t xml:space="preserve">-</w:t>
      </w:r>
      <w:r>
        <w:t xml:space="preserve"> </w:t>
      </w:r>
      <w:r>
        <w:rPr>
          <w:b/>
          <w:bCs/>
        </w:rPr>
        <w:t xml:space="preserve">النتيجة:</w:t>
      </w:r>
      <w:r>
        <w:t xml:space="preserve"> </w:t>
      </w:r>
      <w:r>
        <w:t xml:space="preserve">تحويل الدجاجة إلى</w:t>
      </w:r>
      <w:r>
        <w:t xml:space="preserve"> </w:t>
      </w:r>
      <w:r>
        <w:rPr>
          <w:b/>
          <w:bCs/>
        </w:rPr>
        <w:t xml:space="preserve">مفاعل حيوي (Bioreactor)</w:t>
      </w:r>
      <w:r>
        <w:t xml:space="preserve"> </w:t>
      </w:r>
      <w:r>
        <w:t xml:space="preserve">فعال من حيث التكلفة لصناعة الأدوية البشرية.</w:t>
      </w:r>
    </w:p>
    <w:bookmarkEnd w:id="28"/>
    <w:bookmarkStart w:id="29" w:name="د.-الدواجن-المقاومة-للإنفلونزا"/>
    <w:p>
      <w:pPr>
        <w:pStyle w:val="3"/>
      </w:pPr>
      <w:r>
        <w:t xml:space="preserve">د. الدواجن المقاومة للإنفلونزا</w:t>
      </w:r>
    </w:p>
    <w:p>
      <w:pPr>
        <w:pStyle w:val="FirstParagraph"/>
      </w:pPr>
      <w:r>
        <w:t xml:space="preserve">باستخدام تحرير جيني متقدم (CRISPR-style)، تمت إزالة جزء DNA محدد مسؤول عن إنتاج جزيء</w:t>
      </w:r>
      <w:r>
        <w:t xml:space="preserve"> </w:t>
      </w:r>
      <w:r>
        <w:rPr>
          <w:b/>
          <w:bCs/>
        </w:rPr>
        <w:t xml:space="preserve">ANP32A</w:t>
      </w:r>
      <w:r>
        <w:t xml:space="preserve"> </w:t>
      </w:r>
      <w:r>
        <w:t xml:space="preserve">في خلايا الدجاج. بما أن فيروس الإنفلونزا الطيور يحتاج اختطاف هذا الجزيء للتكاثر، فإن هذه الدواجن المحررة جينياً أصبحت</w:t>
      </w:r>
      <w:r>
        <w:t xml:space="preserve"> </w:t>
      </w:r>
      <w:r>
        <w:rPr>
          <w:b/>
          <w:bCs/>
        </w:rPr>
        <w:t xml:space="preserve">مقاومة تماماً</w:t>
      </w:r>
      <w:r>
        <w:t xml:space="preserve"> </w:t>
      </w:r>
      <w:r>
        <w:t xml:space="preserve">لإنفلونزا الطيور — اختراق كبير للأمن الحيوي الزراعي العالمي.</w:t>
      </w:r>
    </w:p>
    <w:p>
      <w:r>
        <w:pict>
          <v:rect style="width:0;height:1.5pt" o:hralign="center" o:hrstd="t" o:hr="t"/>
        </w:pict>
      </w:r>
    </w:p>
    <w:bookmarkEnd w:id="29"/>
    <w:bookmarkEnd w:id="30"/>
    <w:bookmarkStart w:id="33" w:name="Xc7cd4e5052a69bfa5411ab00c73bb36a64d9167"/>
    <w:p>
      <w:pPr>
        <w:pStyle w:val="2"/>
      </w:pPr>
      <w:r>
        <w:t xml:space="preserve">3. الببتيدات النشطة والمادة الوراثية الغذائية</w:t>
      </w:r>
    </w:p>
    <w:bookmarkStart w:id="31" w:name="Xefbbc1759c81f2756bc4784c09bb7acb28dd31a"/>
    <w:p>
      <w:pPr>
        <w:pStyle w:val="3"/>
      </w:pPr>
      <w:r>
        <w:t xml:space="preserve">أ. ببتيدات البيض النشطة (Bioactive Peptides)</w:t>
      </w:r>
    </w:p>
    <w:p>
      <w:pPr>
        <w:pStyle w:val="FirstParagraph"/>
      </w:pPr>
      <w:r>
        <w:t xml:space="preserve">تُعيد الأبحاث الحديثة (2025–2026) تعريف البيض من مجرد مصدر ماكروغذائي إلى</w:t>
      </w:r>
      <w:r>
        <w:t xml:space="preserve"> </w:t>
      </w:r>
      <w:r>
        <w:rPr>
          <w:b/>
          <w:bCs/>
        </w:rPr>
        <w:t xml:space="preserve">مصنع ببتيدات دوائية</w:t>
      </w:r>
      <w:r>
        <w:t xml:space="preserve">:</w:t>
      </w:r>
    </w:p>
    <w:tbl>
      <w:tblPr>
        <w:tblStyle w:val="Table"/>
        <w:tblW w:type="pct" w:w="5000"/>
        <w:jc w:val="left"/>
        <w:tblLayout w:type="fixed"/>
        <w:tblLook w:firstRow="1" w:lastRow="0" w:firstColumn="0" w:lastColumn="0" w:noHBand="0" w:noVBand="0" w:val="0020"/>
      </w:tblPr>
      <w:tblGrid>
        <w:gridCol w:w="2424"/>
        <w:gridCol w:w="2747"/>
        <w:gridCol w:w="2747"/>
      </w:tblGrid>
      <w:tr>
        <w:trPr>
          <w:tblHeader w:val="on"/>
        </w:trPr>
        <w:tc>
          <w:tcPr/>
          <w:p>
            <w:pPr>
              <w:pStyle w:val="Compact"/>
              <w:jc w:val="left"/>
            </w:pPr>
            <w:r>
              <w:t xml:space="preserve">الببتيد/الفئة</w:t>
            </w:r>
          </w:p>
        </w:tc>
        <w:tc>
          <w:tcPr/>
          <w:p>
            <w:pPr>
              <w:pStyle w:val="Compact"/>
              <w:jc w:val="left"/>
            </w:pPr>
            <w:r>
              <w:t xml:space="preserve">الوظيفة المكتشفة</w:t>
            </w:r>
          </w:p>
        </w:tc>
        <w:tc>
          <w:tcPr/>
          <w:p>
            <w:pPr>
              <w:pStyle w:val="Compact"/>
              <w:jc w:val="left"/>
            </w:pPr>
            <w:r>
              <w:t xml:space="preserve">التطبيق المحتمل</w:t>
            </w:r>
          </w:p>
        </w:tc>
      </w:tr>
      <w:tr>
        <w:tc>
          <w:tcPr/>
          <w:p>
            <w:pPr>
              <w:pStyle w:val="Compact"/>
              <w:jc w:val="left"/>
            </w:pPr>
            <w:r>
              <w:rPr>
                <w:b/>
                <w:bCs/>
              </w:rPr>
              <w:t xml:space="preserve">Ovipin</w:t>
            </w:r>
            <w:r>
              <w:t xml:space="preserve"> </w:t>
            </w:r>
            <w:r>
              <w:t xml:space="preserve">وغيره من بياض البيض</w:t>
            </w:r>
          </w:p>
        </w:tc>
        <w:tc>
          <w:tcPr/>
          <w:p>
            <w:pPr>
              <w:pStyle w:val="Compact"/>
              <w:jc w:val="left"/>
            </w:pPr>
            <w:r>
              <w:t xml:space="preserve">خصائص مضادة للميكروبات قوية</w:t>
            </w:r>
          </w:p>
        </w:tc>
        <w:tc>
          <w:tcPr/>
          <w:p>
            <w:pPr>
              <w:pStyle w:val="Compact"/>
              <w:jc w:val="left"/>
            </w:pPr>
            <w:r>
              <w:t xml:space="preserve">بدائل طبيعية للمضادات الحيوية في الحفظ الغذائي أو العلاج</w:t>
            </w:r>
          </w:p>
        </w:tc>
      </w:tr>
      <w:tr>
        <w:tc>
          <w:tcPr/>
          <w:p>
            <w:pPr>
              <w:pStyle w:val="Compact"/>
              <w:jc w:val="left"/>
            </w:pPr>
            <w:r>
              <w:rPr>
                <w:b/>
                <w:bCs/>
              </w:rPr>
              <w:t xml:space="preserve">ببتيدات تحفيز العظام</w:t>
            </w:r>
          </w:p>
        </w:tc>
        <w:tc>
          <w:tcPr/>
          <w:p>
            <w:pPr>
              <w:pStyle w:val="Compact"/>
              <w:jc w:val="left"/>
            </w:pPr>
            <w:r>
              <w:t xml:space="preserve">تحفيز نشاط الخلايا البنائية (Osteoblasts)</w:t>
            </w:r>
          </w:p>
        </w:tc>
        <w:tc>
          <w:tcPr/>
          <w:p>
            <w:pPr>
              <w:pStyle w:val="Compact"/>
              <w:jc w:val="left"/>
            </w:pPr>
            <w:r>
              <w:t xml:space="preserve">مطابقة أو تجاوز العلاجات التقليدية لتعزيز تكوين العظام وإصلاح الأنسجة</w:t>
            </w:r>
          </w:p>
        </w:tc>
      </w:tr>
    </w:tbl>
    <w:bookmarkEnd w:id="31"/>
    <w:bookmarkStart w:id="32" w:name="X930e711282b287a1648ec66b007e997366fd560"/>
    <w:p>
      <w:pPr>
        <w:pStyle w:val="3"/>
      </w:pPr>
      <w:r>
        <w:t xml:space="preserve">ب. المادة الوراثية الغذائية (Dietary microRNA — XenomiRs)</w:t>
      </w:r>
    </w:p>
    <w:p>
      <w:pPr>
        <w:pStyle w:val="Compact"/>
        <w:numPr>
          <w:ilvl w:val="0"/>
          <w:numId w:val="1004"/>
        </w:numPr>
      </w:pPr>
      <w:r>
        <w:rPr>
          <w:b/>
          <w:bCs/>
        </w:rPr>
        <w:t xml:space="preserve">الحقيقة الأساسية:</w:t>
      </w:r>
      <w:r>
        <w:t xml:space="preserve"> </w:t>
      </w:r>
      <w:r>
        <w:t xml:space="preserve">الهضم المعوي يدمر الأحماض النووية (DNA/RNA) إلى نوكليوتيدات أساسية قبل الامتصاص. المادة الوراثية الغذائية</w:t>
      </w:r>
      <w:r>
        <w:t xml:space="preserve"> </w:t>
      </w:r>
      <w:r>
        <w:rPr>
          <w:b/>
          <w:bCs/>
        </w:rPr>
        <w:t xml:space="preserve">لا تغير الجينوم البشري</w:t>
      </w:r>
      <w:r>
        <w:t xml:space="preserve">.</w:t>
      </w:r>
    </w:p>
    <w:p>
      <w:pPr>
        <w:pStyle w:val="Compact"/>
        <w:numPr>
          <w:ilvl w:val="0"/>
          <w:numId w:val="1004"/>
        </w:numPr>
      </w:pPr>
      <w:r>
        <w:rPr>
          <w:b/>
          <w:bCs/>
        </w:rPr>
        <w:t xml:space="preserve">البحث الحديث (2025–2026):</w:t>
      </w:r>
      <w:r>
        <w:t xml:space="preserve"> </w:t>
      </w:r>
      <w:r>
        <w:t xml:space="preserve">على الرغم من الجدل، تدرس دراسات</w:t>
      </w:r>
      <w:r>
        <w:t xml:space="preserve"> </w:t>
      </w:r>
      <w:r>
        <w:rPr>
          <w:i/>
          <w:iCs/>
        </w:rPr>
        <w:t xml:space="preserve">in silico</w:t>
      </w:r>
      <w:r>
        <w:t xml:space="preserve"> </w:t>
      </w:r>
      <w:r>
        <w:t xml:space="preserve">و</w:t>
      </w:r>
      <w:r>
        <w:t xml:space="preserve"> </w:t>
      </w:r>
      <w:r>
        <w:rPr>
          <w:i/>
          <w:iCs/>
        </w:rPr>
        <w:t xml:space="preserve">in vitro</w:t>
      </w:r>
      <w:r>
        <w:t xml:space="preserve"> </w:t>
      </w:r>
      <w:r>
        <w:t xml:space="preserve">ما إذا كانت microRNAs مستقرة (xeno-miRs) الموجودة بكثافة في البيض قد تؤثر على مسارات تنظيم الجينات البشرية المرتبطة</w:t>
      </w:r>
      <w:r>
        <w:t xml:space="preserve"> </w:t>
      </w:r>
      <w:r>
        <w:rPr>
          <w:b/>
          <w:bCs/>
        </w:rPr>
        <w:t xml:space="preserve">باستجابة العلاج الكيميائي ومقاومة أدوية السرطان</w:t>
      </w:r>
      <w:r>
        <w:t xml:space="preserve">.</w:t>
      </w:r>
    </w:p>
    <w:p>
      <w:pPr>
        <w:pStyle w:val="Compact"/>
        <w:numPr>
          <w:ilvl w:val="0"/>
          <w:numId w:val="1004"/>
        </w:numPr>
      </w:pPr>
      <w:r>
        <w:rPr>
          <w:b/>
          <w:bCs/>
        </w:rPr>
        <w:t xml:space="preserve">التقييم النقدي:</w:t>
      </w:r>
      <w:r>
        <w:t xml:space="preserve"> </w:t>
      </w:r>
      <w:r>
        <w:t xml:space="preserve">هذه الفرضية مثيرة لكن الأدلة غير حاسمة بعد، مع تحديات كبيرة في إمكانية التكرار والفصل بين الإشارة الحقيقية والتلوث التقني. تظل منطقة عدم يقين تحتاج لمزيد من البحث.</w:t>
      </w:r>
    </w:p>
    <w:p>
      <w:r>
        <w:pict>
          <v:rect style="width:0;height:1.5pt" o:hralign="center" o:hrstd="t" o:hr="t"/>
        </w:pict>
      </w:r>
    </w:p>
    <w:bookmarkEnd w:id="32"/>
    <w:bookmarkEnd w:id="33"/>
    <w:bookmarkStart w:id="36" w:name="الكوليسترول-والدهون-إعادة-تقييم-شامل"/>
    <w:p>
      <w:pPr>
        <w:pStyle w:val="2"/>
      </w:pPr>
      <w:r>
        <w:t xml:space="preserve">4. الكوليسترول والدهون: إعادة تقييم شامل</w:t>
      </w:r>
    </w:p>
    <w:bookmarkStart w:id="34" w:name="أ.-نهضة-البيض-the-egg-renaissance"/>
    <w:p>
      <w:pPr>
        <w:pStyle w:val="3"/>
      </w:pPr>
      <w:r>
        <w:t xml:space="preserve">أ.</w:t>
      </w:r>
      <w:r>
        <w:t xml:space="preserve"> </w:t>
      </w:r>
      <w:r>
        <w:t xml:space="preserve">“</w:t>
      </w:r>
      <w:r>
        <w:t xml:space="preserve">نهضة البيض</w:t>
      </w:r>
      <w:r>
        <w:t xml:space="preserve">”</w:t>
      </w:r>
      <w:r>
        <w:t xml:space="preserve"> </w:t>
      </w:r>
      <w:r>
        <w:t xml:space="preserve">(The Egg Renaissance)</w:t>
      </w:r>
    </w:p>
    <w:p>
      <w:pPr>
        <w:pStyle w:val="FirstParagraph"/>
      </w:pPr>
      <w:r>
        <w:t xml:space="preserve">على الرغم من عقود من التحذيرات حول الكوليسترول الغذائي، أكدت ميتا-أناليسيس ضخمة حديثة:</w:t>
      </w:r>
      <w:r>
        <w:t xml:space="preserve"> </w:t>
      </w:r>
      <w:r>
        <w:t xml:space="preserve">-</w:t>
      </w:r>
      <w:r>
        <w:t xml:space="preserve"> </w:t>
      </w:r>
      <w:r>
        <w:rPr>
          <w:b/>
          <w:bCs/>
        </w:rPr>
        <w:t xml:space="preserve">استهلاك معتدل من البيض (حتى بيضة واحدة يومياً)</w:t>
      </w:r>
      <w:r>
        <w:t xml:space="preserve"> </w:t>
      </w:r>
      <w:r>
        <w:t xml:space="preserve">لا يزيد من خطر أمراض القلب والأوعية الدموية الإجمالي.</w:t>
      </w:r>
      <w:r>
        <w:t xml:space="preserve"> </w:t>
      </w:r>
      <w:r>
        <w:t xml:space="preserve">- في بعض السكان العالمية، يرتبط بـ</w:t>
      </w:r>
      <w:r>
        <w:t xml:space="preserve"> </w:t>
      </w:r>
      <w:r>
        <w:rPr>
          <w:b/>
          <w:bCs/>
        </w:rPr>
        <w:t xml:space="preserve">انخفاض طفيف في خطر السكتة الدماغية وأمراض القلب</w:t>
      </w:r>
      <w:r>
        <w:t xml:space="preserve">.</w:t>
      </w:r>
    </w:p>
    <w:bookmarkEnd w:id="34"/>
    <w:bookmarkStart w:id="35" w:name="ب.-دراسة-pure-والسياق-العالمي"/>
    <w:p>
      <w:pPr>
        <w:pStyle w:val="3"/>
      </w:pPr>
      <w:r>
        <w:t xml:space="preserve">ب. دراسة PURE والسياق العالمي</w:t>
      </w:r>
    </w:p>
    <w:p>
      <w:pPr>
        <w:pStyle w:val="FirstParagraph"/>
      </w:pPr>
      <w:r>
        <w:t xml:space="preserve">قدمت دراسة PURE الكبيرة (135,335 شخصاً في 18 دولة) أدلة تحدى الحكمة التقليدية:</w:t>
      </w:r>
      <w:r>
        <w:t xml:space="preserve"> </w:t>
      </w:r>
      <w:r>
        <w:t xml:space="preserve">-</w:t>
      </w:r>
      <w:r>
        <w:t xml:space="preserve"> </w:t>
      </w:r>
      <w:r>
        <w:rPr>
          <w:b/>
          <w:bCs/>
        </w:rPr>
        <w:t xml:space="preserve">الدهون الكلية:</w:t>
      </w:r>
      <w:r>
        <w:t xml:space="preserve"> </w:t>
      </w:r>
      <w:r>
        <w:t xml:space="preserve">لم تكن مرتبطة بارتفاع خطر الوفاة من جميع الأسباب أو أمراض القلب.</w:t>
      </w:r>
      <w:r>
        <w:t xml:space="preserve"> </w:t>
      </w:r>
      <w:r>
        <w:t xml:space="preserve">-</w:t>
      </w:r>
      <w:r>
        <w:t xml:space="preserve"> </w:t>
      </w:r>
      <w:r>
        <w:rPr>
          <w:b/>
          <w:bCs/>
        </w:rPr>
        <w:t xml:space="preserve">الدهون المشبعة:</w:t>
      </w:r>
      <w:r>
        <w:t xml:space="preserve"> </w:t>
      </w:r>
      <w:r>
        <w:t xml:space="preserve">لم تكن مرتبطة بشكل مستقل بأمراض القلب التاجية.</w:t>
      </w:r>
      <w:r>
        <w:t xml:space="preserve"> </w:t>
      </w:r>
      <w:r>
        <w:t xml:space="preserve">-</w:t>
      </w:r>
      <w:r>
        <w:t xml:space="preserve"> </w:t>
      </w:r>
      <w:r>
        <w:rPr>
          <w:b/>
          <w:bCs/>
        </w:rPr>
        <w:t xml:space="preserve">الكربوهيدرات المكررة:</w:t>
      </w:r>
      <w:r>
        <w:t xml:space="preserve"> </w:t>
      </w:r>
      <w:r>
        <w:t xml:space="preserve">الاستهلاك العالي (&gt;60% من الطاقة) ارتبط بزيادة خطر الوفاة من جميع الأسباب.</w:t>
      </w:r>
      <w:r>
        <w:t xml:space="preserve"> </w:t>
      </w:r>
      <w:r>
        <w:t xml:space="preserve">-</w:t>
      </w:r>
      <w:r>
        <w:t xml:space="preserve"> </w:t>
      </w:r>
      <w:r>
        <w:rPr>
          <w:b/>
          <w:bCs/>
        </w:rPr>
        <w:t xml:space="preserve">الخلاصة:</w:t>
      </w:r>
      <w:r>
        <w:t xml:space="preserve"> </w:t>
      </w:r>
      <w:r>
        <w:t xml:space="preserve">استبدال الدهون المشبعة بالكربوهيدرات المكررة (سكر، دقيق أبيض)</w:t>
      </w:r>
      <w:r>
        <w:t xml:space="preserve"> </w:t>
      </w:r>
      <w:r>
        <w:rPr>
          <w:b/>
          <w:bCs/>
        </w:rPr>
        <w:t xml:space="preserve">أسوأ بكثير</w:t>
      </w:r>
      <w:r>
        <w:t xml:space="preserve"> </w:t>
      </w:r>
      <w:r>
        <w:t xml:space="preserve">من استبدالها بالدهون غير المشبعة أو حتى تركها كما هي.</w:t>
      </w:r>
    </w:p>
    <w:p>
      <w:pPr>
        <w:pStyle w:val="aa"/>
      </w:pPr>
      <w:r>
        <w:rPr>
          <w:b/>
          <w:bCs/>
        </w:rPr>
        <w:t xml:space="preserve">الرسالة المتكاملة:</w:t>
      </w:r>
      <w:r>
        <w:t xml:space="preserve"> </w:t>
      </w:r>
      <w:r>
        <w:t xml:space="preserve">نوع الكربوهيدرات (كاملة vs مكررة) ونوع الدهون (غير مشبعة vs مشبعة) أهم من النسبة المئوية للسعرات أو الكوليسترول الغذائي وحده.</w:t>
      </w:r>
    </w:p>
    <w:p>
      <w:r>
        <w:pict>
          <v:rect style="width:0;height:1.5pt" o:hralign="center" o:hrstd="t" o:hr="t"/>
        </w:pict>
      </w:r>
    </w:p>
    <w:bookmarkEnd w:id="35"/>
    <w:bookmarkEnd w:id="36"/>
    <w:bookmarkStart w:id="39" w:name="التباين-الفردي-والميكروبيوم"/>
    <w:p>
      <w:pPr>
        <w:pStyle w:val="2"/>
      </w:pPr>
      <w:r>
        <w:t xml:space="preserve">5. التباين الفردي والميكروبيوم</w:t>
      </w:r>
    </w:p>
    <w:bookmarkStart w:id="37" w:name="أ.-محور-الأمعاء-الدماغ-والصحة-العقلية"/>
    <w:p>
      <w:pPr>
        <w:pStyle w:val="3"/>
      </w:pPr>
      <w:r>
        <w:t xml:space="preserve">أ. محور الأمعاء-الدماغ والصحة العقلية</w:t>
      </w:r>
    </w:p>
    <w:p>
      <w:pPr>
        <w:pStyle w:val="Compact"/>
        <w:numPr>
          <w:ilvl w:val="0"/>
          <w:numId w:val="1005"/>
        </w:numPr>
      </w:pPr>
      <w:r>
        <w:rPr>
          <w:b/>
          <w:bCs/>
        </w:rPr>
        <w:t xml:space="preserve">95% من السيروتونين</w:t>
      </w:r>
      <w:r>
        <w:t xml:space="preserve"> </w:t>
      </w:r>
      <w:r>
        <w:t xml:space="preserve">يُنتج في الأمعاء، وليس الدماغ.</w:t>
      </w:r>
    </w:p>
    <w:p>
      <w:pPr>
        <w:pStyle w:val="Compact"/>
        <w:numPr>
          <w:ilvl w:val="0"/>
          <w:numId w:val="1005"/>
        </w:numPr>
      </w:pPr>
      <w:r>
        <w:t xml:space="preserve">الأمعاء تحتوي على</w:t>
      </w:r>
      <w:r>
        <w:t xml:space="preserve"> </w:t>
      </w:r>
      <w:r>
        <w:rPr>
          <w:b/>
          <w:bCs/>
        </w:rPr>
        <w:t xml:space="preserve">500 مليون خلية عصبية</w:t>
      </w:r>
      <w:r>
        <w:t xml:space="preserve"> </w:t>
      </w:r>
      <w:r>
        <w:t xml:space="preserve">تتصل بالدماغ عبر العصب المبهم.</w:t>
      </w:r>
    </w:p>
    <w:p>
      <w:pPr>
        <w:pStyle w:val="Compact"/>
        <w:numPr>
          <w:ilvl w:val="0"/>
          <w:numId w:val="1005"/>
        </w:numPr>
      </w:pPr>
      <w:r>
        <w:t xml:space="preserve">البكتيريا المعوية تنتج ناقلات عصبية (GABA، الدوبامين) وأحماض دهنية قصيرة السلسلة (بوتيرات).</w:t>
      </w:r>
    </w:p>
    <w:p>
      <w:pPr>
        <w:pStyle w:val="Compact"/>
        <w:numPr>
          <w:ilvl w:val="0"/>
          <w:numId w:val="1005"/>
        </w:numPr>
      </w:pPr>
      <w:r>
        <w:rPr>
          <w:b/>
          <w:bCs/>
        </w:rPr>
        <w:t xml:space="preserve">تجربة SMILES (2017):</w:t>
      </w:r>
      <w:r>
        <w:t xml:space="preserve"> </w:t>
      </w:r>
      <w:r>
        <w:t xml:space="preserve">نظام غذائي متوسطي معدل أدى إلى هجوع الاكتئاب في</w:t>
      </w:r>
      <w:r>
        <w:t xml:space="preserve"> </w:t>
      </w:r>
      <w:r>
        <w:rPr>
          <w:b/>
          <w:bCs/>
        </w:rPr>
        <w:t xml:space="preserve">32%</w:t>
      </w:r>
      <w:r>
        <w:t xml:space="preserve"> </w:t>
      </w:r>
      <w:r>
        <w:t xml:space="preserve">من المشاركين مقابل</w:t>
      </w:r>
      <w:r>
        <w:t xml:space="preserve"> </w:t>
      </w:r>
      <w:r>
        <w:rPr>
          <w:b/>
          <w:bCs/>
        </w:rPr>
        <w:t xml:space="preserve">8%</w:t>
      </w:r>
      <w:r>
        <w:t xml:space="preserve"> </w:t>
      </w:r>
      <w:r>
        <w:t xml:space="preserve">في مجموعة الدعم الاجتماعي.</w:t>
      </w:r>
    </w:p>
    <w:bookmarkEnd w:id="37"/>
    <w:bookmarkStart w:id="38" w:name="X43e11c0004140bd9661e431bed7a9f949123fee"/>
    <w:p>
      <w:pPr>
        <w:pStyle w:val="3"/>
      </w:pPr>
      <w:r>
        <w:t xml:space="preserve">ب. التباين الجيني والميكروبيومي في استجابة البيض والدواجن</w:t>
      </w:r>
    </w:p>
    <w:tbl>
      <w:tblPr>
        <w:tblStyle w:val="Table"/>
        <w:tblW w:type="pct" w:w="5000"/>
        <w:jc w:val="left"/>
        <w:tblLayout w:type="fixed"/>
        <w:tblLook w:firstRow="1" w:lastRow="0" w:firstColumn="0" w:lastColumn="0" w:noHBand="0" w:noVBand="0" w:val="0020"/>
      </w:tblPr>
      <w:tblGrid>
        <w:gridCol w:w="1980"/>
        <w:gridCol w:w="5940"/>
      </w:tblGrid>
      <w:tr>
        <w:trPr>
          <w:tblHeader w:val="on"/>
        </w:trPr>
        <w:tc>
          <w:tcPr/>
          <w:p>
            <w:pPr>
              <w:pStyle w:val="Compact"/>
              <w:jc w:val="left"/>
            </w:pPr>
            <w:r>
              <w:t xml:space="preserve">العامل</w:t>
            </w:r>
          </w:p>
        </w:tc>
        <w:tc>
          <w:tcPr/>
          <w:p>
            <w:pPr>
              <w:pStyle w:val="Compact"/>
              <w:jc w:val="left"/>
            </w:pPr>
            <w:r>
              <w:t xml:space="preserve">التأثير على الاستجابة</w:t>
            </w:r>
          </w:p>
        </w:tc>
      </w:tr>
      <w:tr>
        <w:tc>
          <w:tcPr/>
          <w:p>
            <w:pPr>
              <w:pStyle w:val="Compact"/>
              <w:jc w:val="left"/>
            </w:pPr>
            <w:r>
              <w:rPr>
                <w:b/>
                <w:bCs/>
              </w:rPr>
              <w:t xml:space="preserve">جينات HLA</w:t>
            </w:r>
          </w:p>
        </w:tc>
        <w:tc>
          <w:tcPr/>
          <w:p>
            <w:pPr>
              <w:pStyle w:val="Compact"/>
              <w:jc w:val="left"/>
            </w:pPr>
            <w:r>
              <w:t xml:space="preserve">تحديد كيفية تقديم ببتيدات البيض للخلايا التائية</w:t>
            </w:r>
          </w:p>
        </w:tc>
      </w:tr>
      <w:tr>
        <w:tc>
          <w:tcPr/>
          <w:p>
            <w:pPr>
              <w:pStyle w:val="Compact"/>
              <w:jc w:val="left"/>
            </w:pPr>
            <w:r>
              <w:rPr>
                <w:b/>
                <w:bCs/>
              </w:rPr>
              <w:t xml:space="preserve">جينات الحاجز المعوي (FLG, SPINK5)</w:t>
            </w:r>
          </w:p>
        </w:tc>
        <w:tc>
          <w:tcPr/>
          <w:p>
            <w:pPr>
              <w:pStyle w:val="Compact"/>
              <w:jc w:val="left"/>
            </w:pPr>
            <w:r>
              <w:t xml:space="preserve">ضعف الحاجز يزيد نفاذية المستضدات ويحفز التحسس</w:t>
            </w:r>
          </w:p>
        </w:tc>
      </w:tr>
      <w:tr>
        <w:tc>
          <w:tcPr/>
          <w:p>
            <w:pPr>
              <w:pStyle w:val="Compact"/>
              <w:jc w:val="left"/>
            </w:pPr>
            <w:r>
              <w:rPr>
                <w:b/>
                <w:bCs/>
              </w:rPr>
              <w:t xml:space="preserve">ميكروبيوم TMAO</w:t>
            </w:r>
          </w:p>
        </w:tc>
        <w:tc>
          <w:tcPr/>
          <w:p>
            <w:pPr>
              <w:pStyle w:val="Compact"/>
              <w:jc w:val="left"/>
            </w:pPr>
            <w:r>
              <w:t xml:space="preserve">بكتيريا معينة تحول الكولين/الكارنيتين (الوفيرة في البيض) إلى TMAO المرتبط بأمراض القلب</w:t>
            </w:r>
          </w:p>
        </w:tc>
      </w:tr>
      <w:tr>
        <w:tc>
          <w:tcPr/>
          <w:p>
            <w:pPr>
              <w:pStyle w:val="Compact"/>
              <w:jc w:val="left"/>
            </w:pPr>
            <w:r>
              <w:rPr>
                <w:b/>
                <w:bCs/>
              </w:rPr>
              <w:t xml:space="preserve">حموضة المعدة</w:t>
            </w:r>
          </w:p>
        </w:tc>
        <w:tc>
          <w:tcPr/>
          <w:p>
            <w:pPr>
              <w:pStyle w:val="Compact"/>
              <w:jc w:val="left"/>
            </w:pPr>
            <w:r>
              <w:t xml:space="preserve">انخفاض الحموضة يقلل هضم البروتين الأولي ويزيد وصول البروتينات الكبيرة للأمعاء</w:t>
            </w:r>
          </w:p>
        </w:tc>
      </w:tr>
      <w:tr>
        <w:tc>
          <w:tcPr/>
          <w:p>
            <w:pPr>
              <w:pStyle w:val="Compact"/>
              <w:jc w:val="left"/>
            </w:pPr>
            <w:r>
              <w:rPr>
                <w:b/>
                <w:bCs/>
              </w:rPr>
              <w:t xml:space="preserve">توقيت الاستهلاك</w:t>
            </w:r>
          </w:p>
        </w:tc>
        <w:tc>
          <w:tcPr/>
          <w:p>
            <w:pPr>
              <w:pStyle w:val="Compact"/>
              <w:jc w:val="left"/>
            </w:pPr>
            <w:r>
              <w:t xml:space="preserve">تناول البيض ضمن وجبة مختلطة (مع كربوهيدرات، دهون، ألياف) يحسن امتصاص الأحماض الأمينية</w:t>
            </w:r>
          </w:p>
        </w:tc>
      </w:tr>
    </w:tbl>
    <w:p>
      <w:r>
        <w:pict>
          <v:rect style="width:0;height:1.5pt" o:hralign="center" o:hrstd="t" o:hr="t"/>
        </w:pict>
      </w:r>
    </w:p>
    <w:bookmarkEnd w:id="38"/>
    <w:bookmarkEnd w:id="39"/>
    <w:bookmarkStart w:id="40" w:name="توصيات-عملية-مبنية-على-السياق-الفردي"/>
    <w:p>
      <w:pPr>
        <w:pStyle w:val="2"/>
      </w:pPr>
      <w:r>
        <w:t xml:space="preserve">6. توصيات عملية مبنية على السياق الفردي</w:t>
      </w:r>
    </w:p>
    <w:tbl>
      <w:tblPr>
        <w:tblStyle w:val="Table"/>
        <w:tblW w:type="pct" w:w="5000"/>
        <w:jc w:val="left"/>
        <w:tblLayout w:type="fixed"/>
        <w:tblLook w:firstRow="1" w:lastRow="0" w:firstColumn="0" w:lastColumn="0" w:noHBand="0" w:noVBand="0" w:val="0020"/>
      </w:tblPr>
      <w:tblGrid>
        <w:gridCol w:w="2475"/>
        <w:gridCol w:w="2805"/>
        <w:gridCol w:w="2640"/>
      </w:tblGrid>
      <w:tr>
        <w:trPr>
          <w:tblHeader w:val="on"/>
        </w:trPr>
        <w:tc>
          <w:tcPr/>
          <w:p>
            <w:pPr>
              <w:pStyle w:val="Compact"/>
              <w:jc w:val="left"/>
            </w:pPr>
            <w:r>
              <w:t xml:space="preserve">الفئة السكانية</w:t>
            </w:r>
          </w:p>
        </w:tc>
        <w:tc>
          <w:tcPr/>
          <w:p>
            <w:pPr>
              <w:pStyle w:val="Compact"/>
              <w:jc w:val="left"/>
            </w:pPr>
            <w:r>
              <w:t xml:space="preserve">التوصية الغذائية</w:t>
            </w:r>
          </w:p>
        </w:tc>
        <w:tc>
          <w:tcPr/>
          <w:p>
            <w:pPr>
              <w:pStyle w:val="Compact"/>
              <w:jc w:val="left"/>
            </w:pPr>
            <w:r>
              <w:t xml:space="preserve">التبرير العلمي</w:t>
            </w:r>
          </w:p>
        </w:tc>
      </w:tr>
      <w:tr>
        <w:tc>
          <w:tcPr/>
          <w:p>
            <w:pPr>
              <w:pStyle w:val="Compact"/>
              <w:jc w:val="left"/>
            </w:pPr>
            <w:r>
              <w:rPr>
                <w:b/>
                <w:bCs/>
              </w:rPr>
              <w:t xml:space="preserve">الأطفال الأصحاء</w:t>
            </w:r>
          </w:p>
        </w:tc>
        <w:tc>
          <w:tcPr/>
          <w:p>
            <w:pPr>
              <w:pStyle w:val="Compact"/>
              <w:jc w:val="left"/>
            </w:pPr>
            <w:r>
              <w:t xml:space="preserve">بيض مطبوخ جيداً، بدءاً من 6 أشهر</w:t>
            </w:r>
          </w:p>
        </w:tc>
        <w:tc>
          <w:tcPr/>
          <w:p>
            <w:pPr>
              <w:pStyle w:val="Compact"/>
              <w:jc w:val="left"/>
            </w:pPr>
            <w:r>
              <w:t xml:space="preserve">تقليل خطر التحسس، ضمان الهضم الأمثل، منع العدوى الميكروبية</w:t>
            </w:r>
          </w:p>
        </w:tc>
      </w:tr>
      <w:tr>
        <w:tc>
          <w:tcPr/>
          <w:p>
            <w:pPr>
              <w:pStyle w:val="Compact"/>
              <w:jc w:val="left"/>
            </w:pPr>
            <w:r>
              <w:rPr>
                <w:b/>
                <w:bCs/>
              </w:rPr>
              <w:t xml:space="preserve">الأفراد المصابون بحساسية البيض المؤكدة (IgE)</w:t>
            </w:r>
          </w:p>
        </w:tc>
        <w:tc>
          <w:tcPr/>
          <w:p>
            <w:pPr>
              <w:pStyle w:val="Compact"/>
              <w:jc w:val="left"/>
            </w:pPr>
            <w:r>
              <w:t xml:space="preserve">تجنب كامل للبيض ومشتقاته</w:t>
            </w:r>
          </w:p>
        </w:tc>
        <w:tc>
          <w:tcPr/>
          <w:p>
            <w:pPr>
              <w:pStyle w:val="Compact"/>
              <w:jc w:val="left"/>
            </w:pPr>
            <w:r>
              <w:t xml:space="preserve">منع ردود الفعل التأقية المهددة للحياة</w:t>
            </w:r>
          </w:p>
        </w:tc>
      </w:tr>
      <w:tr>
        <w:tc>
          <w:tcPr/>
          <w:p>
            <w:pPr>
              <w:pStyle w:val="Compact"/>
              <w:jc w:val="left"/>
            </w:pPr>
            <w:r>
              <w:rPr>
                <w:b/>
                <w:bCs/>
              </w:rPr>
              <w:t xml:space="preserve">الأفراد الذين يتحملون البيض المخبوز وليس النيء</w:t>
            </w:r>
          </w:p>
        </w:tc>
        <w:tc>
          <w:tcPr/>
          <w:p>
            <w:pPr>
              <w:pStyle w:val="Compact"/>
              <w:jc w:val="left"/>
            </w:pPr>
            <w:r>
              <w:t xml:space="preserve">استخدام بروتوكولات الخبز عالية الحرارة/طويلة المدة</w:t>
            </w:r>
          </w:p>
        </w:tc>
        <w:tc>
          <w:tcPr/>
          <w:p>
            <w:pPr>
              <w:pStyle w:val="Compact"/>
              <w:jc w:val="left"/>
            </w:pPr>
            <w:r>
              <w:t xml:space="preserve">استغلال عدم استقرار الأوفالبومين حرارياً مع تجنب الأوفوموكويد المستقر</w:t>
            </w:r>
          </w:p>
        </w:tc>
      </w:tr>
      <w:tr>
        <w:tc>
          <w:tcPr/>
          <w:p>
            <w:pPr>
              <w:pStyle w:val="Compact"/>
              <w:jc w:val="left"/>
            </w:pPr>
            <w:r>
              <w:rPr>
                <w:b/>
                <w:bCs/>
              </w:rPr>
              <w:t xml:space="preserve">كبار السن أو أصحاب الهضم الضعيف</w:t>
            </w:r>
          </w:p>
        </w:tc>
        <w:tc>
          <w:tcPr/>
          <w:p>
            <w:pPr>
              <w:pStyle w:val="Compact"/>
              <w:jc w:val="left"/>
            </w:pPr>
            <w:r>
              <w:t xml:space="preserve">بيض مطبوخ جيداً، مقترن بأطعمة غنية بالألياف</w:t>
            </w:r>
          </w:p>
        </w:tc>
        <w:tc>
          <w:tcPr/>
          <w:p>
            <w:pPr>
              <w:pStyle w:val="Compact"/>
              <w:jc w:val="left"/>
            </w:pPr>
            <w:r>
              <w:t xml:space="preserve">تحسين الهضم، دعم صحة الميكروبيوم</w:t>
            </w:r>
          </w:p>
        </w:tc>
      </w:tr>
      <w:tr>
        <w:tc>
          <w:tcPr/>
          <w:p>
            <w:pPr>
              <w:pStyle w:val="Compact"/>
              <w:jc w:val="left"/>
            </w:pPr>
            <w:r>
              <w:rPr>
                <w:b/>
                <w:bCs/>
              </w:rPr>
              <w:t xml:space="preserve">الرياضيون</w:t>
            </w:r>
          </w:p>
        </w:tc>
        <w:tc>
          <w:tcPr/>
          <w:p>
            <w:pPr>
              <w:pStyle w:val="Compact"/>
              <w:jc w:val="left"/>
            </w:pPr>
            <w:r>
              <w:t xml:space="preserve">20–30 جم بروتين بيض مطبوخ بعد التمرين</w:t>
            </w:r>
          </w:p>
        </w:tc>
        <w:tc>
          <w:tcPr/>
          <w:p>
            <w:pPr>
              <w:pStyle w:val="Compact"/>
              <w:jc w:val="left"/>
            </w:pPr>
            <w:r>
              <w:t xml:space="preserve">تحفيث أمثل لتخليق البروتين العضلي، توافر حيوي عالي</w:t>
            </w:r>
          </w:p>
        </w:tc>
      </w:tr>
      <w:tr>
        <w:tc>
          <w:tcPr/>
          <w:p>
            <w:pPr>
              <w:pStyle w:val="Compact"/>
              <w:jc w:val="left"/>
            </w:pPr>
            <w:r>
              <w:rPr>
                <w:b/>
                <w:bCs/>
              </w:rPr>
              <w:t xml:space="preserve">الأفراد المعرضون لخطر أمراض القلب</w:t>
            </w:r>
          </w:p>
        </w:tc>
        <w:tc>
          <w:tcPr/>
          <w:p>
            <w:pPr>
              <w:pStyle w:val="Compact"/>
              <w:jc w:val="left"/>
            </w:pPr>
            <w:r>
              <w:t xml:space="preserve">الاعتدال في الاستهلاك، مراقبة الدهون المشبعة الكلية</w:t>
            </w:r>
          </w:p>
        </w:tc>
        <w:tc>
          <w:tcPr/>
          <w:p>
            <w:pPr>
              <w:pStyle w:val="Compact"/>
              <w:jc w:val="left"/>
            </w:pPr>
            <w:r>
              <w:t xml:space="preserve">التركيز على النظام الغذائي الكلي، مع الاستفادة من مغذيات البيض الدقيقة</w:t>
            </w:r>
          </w:p>
        </w:tc>
      </w:tr>
      <w:tr>
        <w:tc>
          <w:tcPr/>
          <w:p>
            <w:pPr>
              <w:pStyle w:val="Compact"/>
              <w:jc w:val="left"/>
            </w:pPr>
            <w:r>
              <w:rPr>
                <w:b/>
                <w:bCs/>
              </w:rPr>
              <w:t xml:space="preserve">الهدف: حماية العين</w:t>
            </w:r>
          </w:p>
        </w:tc>
        <w:tc>
          <w:tcPr/>
          <w:p>
            <w:pPr>
              <w:pStyle w:val="Compact"/>
              <w:jc w:val="left"/>
            </w:pPr>
            <w:r>
              <w:t xml:space="preserve">بيض مسلوق بدلاً من مقلي/مخفوق</w:t>
            </w:r>
          </w:p>
        </w:tc>
        <w:tc>
          <w:tcPr/>
          <w:p>
            <w:pPr>
              <w:pStyle w:val="Compact"/>
              <w:jc w:val="left"/>
            </w:pPr>
            <w:r>
              <w:t xml:space="preserve">الحفاظ على توافر اللوتين والزياكسانثين</w:t>
            </w:r>
          </w:p>
        </w:tc>
      </w:tr>
    </w:tbl>
    <w:p>
      <w:r>
        <w:pict>
          <v:rect style="width:0;height:1.5pt" o:hralign="center" o:hrstd="t" o:hr="t"/>
        </w:pict>
      </w:r>
    </w:p>
    <w:bookmarkEnd w:id="40"/>
    <w:bookmarkEnd w:id="41"/>
    <w:bookmarkStart w:id="47" w:name="X7135cd060cc3fc19bb3abaa47c8b43a9efea9da"/>
    <w:p>
      <w:pPr>
        <w:pStyle w:val="1"/>
      </w:pPr>
      <w:r>
        <w:t xml:space="preserve">القسم الثاني: ثورة التغذية العلاجية — تصحيح المفاهيم الخاطئة الشائعة</w:t>
      </w:r>
    </w:p>
    <w:bookmarkStart w:id="42" w:name="الطب-النفسي-التغذوي-الطعام-كدواء-للدماغ"/>
    <w:p>
      <w:pPr>
        <w:pStyle w:val="2"/>
      </w:pPr>
      <w:r>
        <w:t xml:space="preserve">1. الطب النفسي التغذوي: الطعام كدواء للدماغ</w:t>
      </w:r>
    </w:p>
    <w:p>
      <w:pPr>
        <w:pStyle w:val="FirstParagraph"/>
      </w:pPr>
      <w:r>
        <w:rPr>
          <w:b/>
          <w:bCs/>
        </w:rPr>
        <w:t xml:space="preserve">المفهوم الخاطئ:</w:t>
      </w:r>
      <w:r>
        <w:t xml:space="preserve"> </w:t>
      </w:r>
      <w:r>
        <w:t xml:space="preserve">الصحة العقلية مسألة نفسية/عصبية بحتة، والطعام لا يؤثر إلا على الجسم.</w:t>
      </w:r>
      <w:r>
        <w:t xml:space="preserve"> </w:t>
      </w:r>
      <w:r>
        <w:rPr>
          <w:b/>
          <w:bCs/>
        </w:rPr>
        <w:t xml:space="preserve">الحقيقة:</w:t>
      </w:r>
      <w:r>
        <w:t xml:space="preserve"> </w:t>
      </w:r>
      <w:r>
        <w:t xml:space="preserve">ما تأكله يؤثر مباشرة على تركيبة الدماغ عبر</w:t>
      </w:r>
      <w:r>
        <w:t xml:space="preserve"> </w:t>
      </w:r>
      <w:r>
        <w:rPr>
          <w:b/>
          <w:bCs/>
        </w:rPr>
        <w:t xml:space="preserve">محور الأمعاء-الدماغ</w:t>
      </w:r>
      <w:r>
        <w:t xml:space="preserve">. الوجبات الغذائية الكاملة والمخمرة والغنية بأوميغا-3 والألياف تغذي البكتيريا المفيدة وتقلل الالتهاب العصبي.</w:t>
      </w:r>
    </w:p>
    <w:bookmarkEnd w:id="42"/>
    <w:bookmarkStart w:id="43" w:name="الصيام-المحدد-بالوقت-ليس-سحرا-للوزن"/>
    <w:p>
      <w:pPr>
        <w:pStyle w:val="2"/>
      </w:pPr>
      <w:r>
        <w:t xml:space="preserve">2. الصيام المحدد بالوقت: ليس سحراً للوزن</w:t>
      </w:r>
    </w:p>
    <w:p>
      <w:pPr>
        <w:pStyle w:val="FirstParagraph"/>
      </w:pPr>
      <w:r>
        <w:rPr>
          <w:b/>
          <w:bCs/>
        </w:rPr>
        <w:t xml:space="preserve">المفهوم الخاطئ:</w:t>
      </w:r>
      <w:r>
        <w:t xml:space="preserve"> </w:t>
      </w:r>
      <w:r>
        <w:t xml:space="preserve">الصيام المتقطع (16:8) يحرق الدهون بشكل سحري ويتفوق على تقييد السعرات.</w:t>
      </w:r>
      <w:r>
        <w:t xml:space="preserve"> </w:t>
      </w:r>
      <w:r>
        <w:rPr>
          <w:b/>
          <w:bCs/>
        </w:rPr>
        <w:t xml:space="preserve">الحقيقة:</w:t>
      </w:r>
      <w:r>
        <w:t xml:space="preserve"> </w:t>
      </w:r>
      <w:r>
        <w:t xml:space="preserve">تجربة NEJM 2022 أظهرت أنه</w:t>
      </w:r>
      <w:r>
        <w:t xml:space="preserve"> </w:t>
      </w:r>
      <w:r>
        <w:rPr>
          <w:b/>
          <w:bCs/>
        </w:rPr>
        <w:t xml:space="preserve">لا يتفوق على تقييد السعرات اليومي التقليدي</w:t>
      </w:r>
      <w:r>
        <w:t xml:space="preserve"> </w:t>
      </w:r>
      <w:r>
        <w:t xml:space="preserve">في فقدان الوزن أو تحسين التمثيل الغذائي عند تساوي السعرات. الفائدة الرئيسية هي</w:t>
      </w:r>
      <w:r>
        <w:t xml:space="preserve"> </w:t>
      </w:r>
      <w:r>
        <w:rPr>
          <w:b/>
          <w:bCs/>
        </w:rPr>
        <w:t xml:space="preserve">سهولة الالتزام</w:t>
      </w:r>
      <w:r>
        <w:t xml:space="preserve"> </w:t>
      </w:r>
      <w:r>
        <w:t xml:space="preserve">لبعض الأشخاص.</w:t>
      </w:r>
    </w:p>
    <w:bookmarkEnd w:id="43"/>
    <w:bookmarkStart w:id="44" w:name="خرافة-زيوت-البذور-السامة"/>
    <w:p>
      <w:pPr>
        <w:pStyle w:val="2"/>
      </w:pPr>
      <w:r>
        <w:t xml:space="preserve">3. خرافة</w:t>
      </w:r>
      <w:r>
        <w:t xml:space="preserve"> </w:t>
      </w:r>
      <w:r>
        <w:t xml:space="preserve">“</w:t>
      </w:r>
      <w:r>
        <w:t xml:space="preserve">زيوت البذور السامة</w:t>
      </w:r>
      <w:r>
        <w:t xml:space="preserve">”</w:t>
      </w:r>
    </w:p>
    <w:p>
      <w:pPr>
        <w:pStyle w:val="FirstParagraph"/>
      </w:pPr>
      <w:r>
        <w:rPr>
          <w:b/>
          <w:bCs/>
        </w:rPr>
        <w:t xml:space="preserve">المفهوم الخاطئ:</w:t>
      </w:r>
      <w:r>
        <w:t xml:space="preserve"> </w:t>
      </w:r>
      <w:r>
        <w:t xml:space="preserve">زيوت البذور (صويا، ذرة، عباد الشمس) غنية بأوميغا-6 وتسبب الالتهاب.</w:t>
      </w:r>
      <w:r>
        <w:t xml:space="preserve"> </w:t>
      </w:r>
      <w:r>
        <w:rPr>
          <w:b/>
          <w:bCs/>
        </w:rPr>
        <w:t xml:space="preserve">الحقيقة:</w:t>
      </w:r>
      <w:r>
        <w:t xml:space="preserve"> </w:t>
      </w:r>
      <w:r>
        <w:t xml:space="preserve">مراجعات منهجية حديثة (2024) تُبرئها: استبدال الدهون المشبعة بالدهون المتعددة غير المشبعة</w:t>
      </w:r>
      <w:r>
        <w:t xml:space="preserve"> </w:t>
      </w:r>
      <w:r>
        <w:rPr>
          <w:b/>
          <w:bCs/>
        </w:rPr>
        <w:t xml:space="preserve">يقلل أحداث القلب والأوعية الدموية</w:t>
      </w:r>
      <w:r>
        <w:t xml:space="preserve">. التركيز يجب أن يكون على</w:t>
      </w:r>
      <w:r>
        <w:t xml:space="preserve"> </w:t>
      </w:r>
      <w:r>
        <w:rPr>
          <w:b/>
          <w:bCs/>
        </w:rPr>
        <w:t xml:space="preserve">زيادة أوميغا-3</w:t>
      </w:r>
      <w:r>
        <w:t xml:space="preserve"> </w:t>
      </w:r>
      <w:r>
        <w:t xml:space="preserve">وليس بالضرورة تقليل أوميغا-6.</w:t>
      </w:r>
    </w:p>
    <w:bookmarkEnd w:id="44"/>
    <w:bookmarkStart w:id="45" w:name="مقدرات-nad-مضادات-الشيخوخة-الواعدة"/>
    <w:p>
      <w:pPr>
        <w:pStyle w:val="2"/>
      </w:pPr>
      <w:r>
        <w:t xml:space="preserve">4. مقدرات NAD+: مضادات الشيخوخة الواعدة</w:t>
      </w:r>
    </w:p>
    <w:p>
      <w:pPr>
        <w:pStyle w:val="FirstParagraph"/>
      </w:pPr>
      <w:r>
        <w:rPr>
          <w:b/>
          <w:bCs/>
        </w:rPr>
        <w:t xml:space="preserve">مكملات NR (نيكوتيناميد ريبوزايد) و NMN</w:t>
      </w:r>
      <w:r>
        <w:t xml:space="preserve"> </w:t>
      </w:r>
      <w:r>
        <w:t xml:space="preserve">ترفع مستويات NAD+ (الإنزيم الأساسي للطاقة وإصلاح DNA). التجارب البشرية تظهر:</w:t>
      </w:r>
      <w:r>
        <w:t xml:space="preserve"> </w:t>
      </w:r>
      <w:r>
        <w:t xml:space="preserve">- تحسن وظائف الإدراك لدى كبار السن.</w:t>
      </w:r>
      <w:r>
        <w:t xml:space="preserve"> </w:t>
      </w:r>
      <w:r>
        <w:t xml:space="preserve">- تحسن حساسية الأنسولين ووظائف الكبد والعضلات.</w:t>
      </w:r>
      <w:r>
        <w:t xml:space="preserve"> </w:t>
      </w:r>
      <w:r>
        <w:t xml:space="preserve">- ⚠️ الأبحاث لا تزال مبكرة، ولا يوجد دليل قاطع على إطالة العمر.</w:t>
      </w:r>
    </w:p>
    <w:bookmarkEnd w:id="45"/>
    <w:bookmarkStart w:id="46" w:name="حقائق-غذائية-غريبة-ومفيدة"/>
    <w:p>
      <w:pPr>
        <w:pStyle w:val="2"/>
      </w:pPr>
      <w:r>
        <w:t xml:space="preserve">5. حقائق غذائية غريبة ومفيدة</w:t>
      </w:r>
    </w:p>
    <w:tbl>
      <w:tblPr>
        <w:tblStyle w:val="Table"/>
        <w:tblW w:type="pct" w:w="5000"/>
        <w:jc w:val="left"/>
        <w:tblLayout w:type="fixed"/>
        <w:tblLook w:firstRow="1" w:lastRow="0" w:firstColumn="0" w:lastColumn="0" w:noHBand="0" w:noVBand="0" w:val="0020"/>
      </w:tblPr>
      <w:tblGrid>
        <w:gridCol w:w="2970"/>
        <w:gridCol w:w="4950"/>
      </w:tblGrid>
      <w:tr>
        <w:trPr>
          <w:tblHeader w:val="on"/>
        </w:trPr>
        <w:tc>
          <w:tcPr/>
          <w:p>
            <w:pPr>
              <w:pStyle w:val="Compact"/>
              <w:jc w:val="left"/>
            </w:pPr>
            <w:r>
              <w:t xml:space="preserve">الحقيقة</w:t>
            </w:r>
          </w:p>
        </w:tc>
        <w:tc>
          <w:tcPr/>
          <w:p>
            <w:pPr>
              <w:pStyle w:val="Compact"/>
              <w:jc w:val="left"/>
            </w:pPr>
            <w:r>
              <w:t xml:space="preserve">الآلية/الدليل</w:t>
            </w:r>
          </w:p>
        </w:tc>
      </w:tr>
      <w:tr>
        <w:tc>
          <w:tcPr/>
          <w:p>
            <w:pPr>
              <w:pStyle w:val="Compact"/>
              <w:jc w:val="left"/>
            </w:pPr>
            <w:r>
              <w:rPr>
                <w:b/>
                <w:bCs/>
              </w:rPr>
              <w:t xml:space="preserve">الشوكولاتة الداكنة</w:t>
            </w:r>
          </w:p>
        </w:tc>
        <w:tc>
          <w:tcPr/>
          <w:p>
            <w:pPr>
              <w:pStyle w:val="Compact"/>
              <w:jc w:val="left"/>
            </w:pPr>
            <w:r>
              <w:t xml:space="preserve">الفلافونويدات تحسن تدفق الدم الدماغي والإدراك</w:t>
            </w:r>
          </w:p>
        </w:tc>
      </w:tr>
      <w:tr>
        <w:tc>
          <w:tcPr/>
          <w:p>
            <w:pPr>
              <w:pStyle w:val="Compact"/>
              <w:jc w:val="left"/>
            </w:pPr>
            <w:r>
              <w:rPr>
                <w:b/>
                <w:bCs/>
              </w:rPr>
              <w:t xml:space="preserve">التوابل الحارة</w:t>
            </w:r>
          </w:p>
        </w:tc>
        <w:tc>
          <w:tcPr/>
          <w:p>
            <w:pPr>
              <w:pStyle w:val="Compact"/>
              <w:jc w:val="left"/>
            </w:pPr>
            <w:r>
              <w:t xml:space="preserve">الكابسيسين يزيد حرق السعرات بـ ~50 سعرة/يوم</w:t>
            </w:r>
          </w:p>
        </w:tc>
      </w:tr>
      <w:tr>
        <w:tc>
          <w:tcPr/>
          <w:p>
            <w:pPr>
              <w:pStyle w:val="Compact"/>
              <w:jc w:val="left"/>
            </w:pPr>
            <w:r>
              <w:rPr>
                <w:b/>
                <w:bCs/>
              </w:rPr>
              <w:t xml:space="preserve">القهوة المعتدلة (3–4 أكواب)</w:t>
            </w:r>
          </w:p>
        </w:tc>
        <w:tc>
          <w:tcPr/>
          <w:p>
            <w:pPr>
              <w:pStyle w:val="Compact"/>
              <w:jc w:val="left"/>
            </w:pPr>
            <w:r>
              <w:t xml:space="preserve">مرتبطة بانخفاض خطر السكري النوع الثاني، أمراض الكبد، والاكتئاب</w:t>
            </w:r>
          </w:p>
        </w:tc>
      </w:tr>
      <w:tr>
        <w:tc>
          <w:tcPr/>
          <w:p>
            <w:pPr>
              <w:pStyle w:val="Compact"/>
              <w:jc w:val="left"/>
            </w:pPr>
            <w:r>
              <w:rPr>
                <w:b/>
                <w:bCs/>
              </w:rPr>
              <w:t xml:space="preserve">النوم الكافي</w:t>
            </w:r>
          </w:p>
        </w:tc>
        <w:tc>
          <w:tcPr/>
          <w:p>
            <w:pPr>
              <w:pStyle w:val="Compact"/>
              <w:jc w:val="left"/>
            </w:pPr>
            <w:r>
              <w:t xml:space="preserve">الحرمان يزيد الغرلين (الجوع) ويقلل اللبتين (الشبع)</w:t>
            </w:r>
          </w:p>
        </w:tc>
      </w:tr>
      <w:tr>
        <w:tc>
          <w:tcPr/>
          <w:p>
            <w:pPr>
              <w:pStyle w:val="Compact"/>
              <w:jc w:val="left"/>
            </w:pPr>
            <w:r>
              <w:rPr>
                <w:b/>
                <w:bCs/>
              </w:rPr>
              <w:t xml:space="preserve">الأكل ببطء</w:t>
            </w:r>
          </w:p>
        </w:tc>
        <w:tc>
          <w:tcPr/>
          <w:p>
            <w:pPr>
              <w:pStyle w:val="Compact"/>
              <w:jc w:val="left"/>
            </w:pPr>
            <w:r>
              <w:t xml:space="preserve">يقلل الاستهلاك بنسبة 10–15% عبر إشارات الشبع</w:t>
            </w:r>
          </w:p>
        </w:tc>
      </w:tr>
    </w:tbl>
    <w:p>
      <w:r>
        <w:pict>
          <v:rect style="width:0;height:1.5pt" o:hralign="center" o:hrstd="t" o:hr="t"/>
        </w:pict>
      </w:r>
    </w:p>
    <w:bookmarkEnd w:id="46"/>
    <w:bookmarkEnd w:id="47"/>
    <w:bookmarkStart w:id="55" w:name="Xc42cb49b82b105c7e5688368da3756a367bf925"/>
    <w:p>
      <w:pPr>
        <w:pStyle w:val="1"/>
      </w:pPr>
      <w:r>
        <w:t xml:space="preserve">القسم الثالث: تدخلات تغذوية غير تقليدية متقدمة</w:t>
      </w:r>
    </w:p>
    <w:bookmarkStart w:id="48" w:name="الميثيلين-بلو-methylene-blue"/>
    <w:p>
      <w:pPr>
        <w:pStyle w:val="2"/>
      </w:pPr>
      <w:r>
        <w:t xml:space="preserve">1. الميثيلين بلو (Methylene Blue)</w:t>
      </w:r>
    </w:p>
    <w:p>
      <w:pPr>
        <w:pStyle w:val="FirstParagraph"/>
      </w:pPr>
      <w:r>
        <w:rPr>
          <w:b/>
          <w:bCs/>
        </w:rPr>
        <w:t xml:space="preserve">الآلية:</w:t>
      </w:r>
      <w:r>
        <w:t xml:space="preserve"> </w:t>
      </w:r>
      <w:r>
        <w:t xml:space="preserve">ناقل إلكترونات بديل في الميتوكوندريا يتجاوز المعقدات المعطلة في سلسلة التنفس، مما يزيد إنتاج ATP ويقلل الجذور الحرة.</w:t>
      </w:r>
    </w:p>
    <w:tbl>
      <w:tblPr>
        <w:tblStyle w:val="Table"/>
        <w:tblW w:type="pct" w:w="5000"/>
        <w:jc w:val="left"/>
        <w:tblLayout w:type="fixed"/>
        <w:tblLook w:firstRow="1" w:lastRow="0" w:firstColumn="0" w:lastColumn="0" w:noHBand="0" w:noVBand="0" w:val="0020"/>
      </w:tblPr>
      <w:tblGrid>
        <w:gridCol w:w="2310"/>
        <w:gridCol w:w="2970"/>
        <w:gridCol w:w="2640"/>
      </w:tblGrid>
      <w:tr>
        <w:trPr>
          <w:tblHeader w:val="on"/>
        </w:trPr>
        <w:tc>
          <w:tcPr/>
          <w:p>
            <w:pPr>
              <w:pStyle w:val="Compact"/>
              <w:jc w:val="left"/>
            </w:pPr>
            <w:r>
              <w:t xml:space="preserve">المدة</w:t>
            </w:r>
          </w:p>
        </w:tc>
        <w:tc>
          <w:tcPr/>
          <w:p>
            <w:pPr>
              <w:pStyle w:val="Compact"/>
              <w:jc w:val="left"/>
            </w:pPr>
            <w:r>
              <w:t xml:space="preserve">التأثير</w:t>
            </w:r>
          </w:p>
        </w:tc>
        <w:tc>
          <w:tcPr/>
          <w:p>
            <w:pPr>
              <w:pStyle w:val="Compact"/>
              <w:jc w:val="left"/>
            </w:pPr>
            <w:r>
              <w:t xml:space="preserve">الدليل</w:t>
            </w:r>
          </w:p>
        </w:tc>
      </w:tr>
      <w:tr>
        <w:tc>
          <w:tcPr/>
          <w:p>
            <w:pPr>
              <w:pStyle w:val="Compact"/>
              <w:jc w:val="left"/>
            </w:pPr>
            <w:r>
              <w:rPr>
                <w:b/>
                <w:bCs/>
              </w:rPr>
              <w:t xml:space="preserve">قصيرة (ساعات–أيام)</w:t>
            </w:r>
          </w:p>
        </w:tc>
        <w:tc>
          <w:tcPr/>
          <w:p>
            <w:pPr>
              <w:pStyle w:val="Compact"/>
              <w:jc w:val="left"/>
            </w:pPr>
            <w:r>
              <w:t xml:space="preserve">↑ وضوح ذهني، ↓ إجهاد تأكسدي، تغير لون البول</w:t>
            </w:r>
          </w:p>
        </w:tc>
        <w:tc>
          <w:tcPr/>
          <w:p>
            <w:pPr>
              <w:pStyle w:val="Compact"/>
              <w:jc w:val="left"/>
            </w:pPr>
            <w:r>
              <w:t xml:space="preserve">تجربة عشوائية (n=42): 260 مجم/يوم حسنت الذاكرة</w:t>
            </w:r>
          </w:p>
        </w:tc>
      </w:tr>
      <w:tr>
        <w:tc>
          <w:tcPr/>
          <w:p>
            <w:pPr>
              <w:pStyle w:val="Compact"/>
              <w:jc w:val="left"/>
            </w:pPr>
            <w:r>
              <w:rPr>
                <w:b/>
                <w:bCs/>
              </w:rPr>
              <w:t xml:space="preserve">طويلة (أسابيع–سنوات)</w:t>
            </w:r>
          </w:p>
        </w:tc>
        <w:tc>
          <w:tcPr/>
          <w:p>
            <w:pPr>
              <w:pStyle w:val="Compact"/>
              <w:jc w:val="left"/>
            </w:pPr>
            <w:r>
              <w:t xml:space="preserve">تباطؤ في التدهور المعرفي بألزهايمر المعتدل، حماية عصبية</w:t>
            </w:r>
          </w:p>
        </w:tc>
        <w:tc>
          <w:tcPr/>
          <w:p>
            <w:pPr>
              <w:pStyle w:val="Compact"/>
              <w:jc w:val="left"/>
            </w:pPr>
            <w:r>
              <w:t xml:space="preserve">تجربة المرحلة الثانية: −5.4 نقطة في ADAS-cog</w:t>
            </w:r>
          </w:p>
        </w:tc>
      </w:tr>
    </w:tbl>
    <w:p>
      <w:pPr>
        <w:pStyle w:val="a0"/>
      </w:pPr>
      <w:r>
        <w:t xml:space="preserve">⚠️</w:t>
      </w:r>
      <w:r>
        <w:t xml:space="preserve"> </w:t>
      </w:r>
      <w:r>
        <w:rPr>
          <w:b/>
          <w:bCs/>
        </w:rPr>
        <w:t xml:space="preserve">تحذيرات:</w:t>
      </w:r>
      <w:r>
        <w:t xml:space="preserve"> </w:t>
      </w:r>
      <w:r>
        <w:t xml:space="preserve">الجرعات العالية (&gt;7 مجم/كجم) تسبب سمية عكسية. يُحذر الجمع مع مثبطات استرداد السيروتونين (SSRIs) أو MAOIs. استخدم درجات صيدلانية فقط.</w:t>
      </w:r>
    </w:p>
    <w:bookmarkEnd w:id="48"/>
    <w:bookmarkStart w:id="49" w:name="البربرين-berberine"/>
    <w:p>
      <w:pPr>
        <w:pStyle w:val="2"/>
      </w:pPr>
      <w:r>
        <w:t xml:space="preserve">2. البربرين (Berberine)</w:t>
      </w:r>
    </w:p>
    <w:p>
      <w:pPr>
        <w:pStyle w:val="FirstParagraph"/>
      </w:pPr>
      <w:r>
        <w:rPr>
          <w:b/>
          <w:bCs/>
        </w:rPr>
        <w:t xml:space="preserve">الآلية:</w:t>
      </w:r>
      <w:r>
        <w:t xml:space="preserve"> </w:t>
      </w:r>
      <w:r>
        <w:t xml:space="preserve">تنشيط AMPK (مسار الطاقة الخلوي) → ↑ استهلاك الجلوكوز، ↑ أكسدة الدهون، ↓ تخليق الكوليسترول. يُسمى</w:t>
      </w:r>
      <w:r>
        <w:t xml:space="preserve"> </w:t>
      </w:r>
      <w:r>
        <w:rPr>
          <w:b/>
          <w:bCs/>
        </w:rPr>
        <w:t xml:space="preserve">“</w:t>
      </w:r>
      <w:r>
        <w:rPr>
          <w:b/>
          <w:bCs/>
        </w:rPr>
        <w:t xml:space="preserve">الميتفورمين النباتي</w:t>
      </w:r>
      <w:r>
        <w:rPr>
          <w:b/>
          <w:bCs/>
        </w:rPr>
        <w:t xml:space="preserve">”</w:t>
      </w:r>
      <w:r>
        <w:t xml:space="preserve">.</w:t>
      </w:r>
    </w:p>
    <w:tbl>
      <w:tblPr>
        <w:tblStyle w:val="Table"/>
        <w:tblW w:type="pct" w:w="5000"/>
        <w:jc w:val="left"/>
        <w:tblLayout w:type="fixed"/>
        <w:tblLook w:firstRow="1" w:lastRow="0" w:firstColumn="0" w:lastColumn="0" w:noHBand="0" w:noVBand="0" w:val="0020"/>
      </w:tblPr>
      <w:tblGrid>
        <w:gridCol w:w="2310"/>
        <w:gridCol w:w="2970"/>
        <w:gridCol w:w="2640"/>
      </w:tblGrid>
      <w:tr>
        <w:trPr>
          <w:tblHeader w:val="on"/>
        </w:trPr>
        <w:tc>
          <w:tcPr/>
          <w:p>
            <w:pPr>
              <w:pStyle w:val="Compact"/>
              <w:jc w:val="left"/>
            </w:pPr>
            <w:r>
              <w:t xml:space="preserve">المدة</w:t>
            </w:r>
          </w:p>
        </w:tc>
        <w:tc>
          <w:tcPr/>
          <w:p>
            <w:pPr>
              <w:pStyle w:val="Compact"/>
              <w:jc w:val="left"/>
            </w:pPr>
            <w:r>
              <w:t xml:space="preserve">التأثير</w:t>
            </w:r>
          </w:p>
        </w:tc>
        <w:tc>
          <w:tcPr/>
          <w:p>
            <w:pPr>
              <w:pStyle w:val="Compact"/>
              <w:jc w:val="left"/>
            </w:pPr>
            <w:r>
              <w:t xml:space="preserve">الدليل</w:t>
            </w:r>
          </w:p>
        </w:tc>
      </w:tr>
      <w:tr>
        <w:tc>
          <w:tcPr/>
          <w:p>
            <w:pPr>
              <w:pStyle w:val="Compact"/>
              <w:jc w:val="left"/>
            </w:pPr>
            <w:r>
              <w:rPr>
                <w:b/>
                <w:bCs/>
              </w:rPr>
              <w:t xml:space="preserve">قصيرة (أسابيع)</w:t>
            </w:r>
          </w:p>
        </w:tc>
        <w:tc>
          <w:tcPr/>
          <w:p>
            <w:pPr>
              <w:pStyle w:val="Compact"/>
              <w:jc w:val="left"/>
            </w:pPr>
            <w:r>
              <w:t xml:space="preserve">↓ سكر الصيام بمقدار 1.2 ملمول/لتر، ↓ HOMA-IR 73%</w:t>
            </w:r>
          </w:p>
        </w:tc>
        <w:tc>
          <w:tcPr/>
          <w:p>
            <w:pPr>
              <w:pStyle w:val="Compact"/>
              <w:jc w:val="left"/>
            </w:pPr>
            <w:r>
              <w:t xml:space="preserve">تحليل تلوي + تجارب سريرية</w:t>
            </w:r>
          </w:p>
        </w:tc>
      </w:tr>
      <w:tr>
        <w:tc>
          <w:tcPr/>
          <w:p>
            <w:pPr>
              <w:pStyle w:val="Compact"/>
              <w:jc w:val="left"/>
            </w:pPr>
            <w:r>
              <w:rPr>
                <w:b/>
                <w:bCs/>
              </w:rPr>
              <w:t xml:space="preserve">طويلة (3–12 شهراً)</w:t>
            </w:r>
          </w:p>
        </w:tc>
        <w:tc>
          <w:tcPr/>
          <w:p>
            <w:pPr>
              <w:pStyle w:val="Compact"/>
              <w:jc w:val="left"/>
            </w:pPr>
            <w:r>
              <w:t xml:space="preserve">↓ الدهون الثلاثية والكوليسترول الضار، ↓ CRP، ↓ وزن 2.3 كجم</w:t>
            </w:r>
          </w:p>
        </w:tc>
        <w:tc>
          <w:tcPr/>
          <w:p>
            <w:pPr>
              <w:pStyle w:val="Compact"/>
              <w:jc w:val="left"/>
            </w:pPr>
            <w:r>
              <w:t xml:space="preserve">تحليل تلوي لـ 27 تجربة</w:t>
            </w:r>
          </w:p>
        </w:tc>
      </w:tr>
    </w:tbl>
    <w:p>
      <w:pPr>
        <w:pStyle w:val="a0"/>
      </w:pPr>
      <w:r>
        <w:t xml:space="preserve">⚠️</w:t>
      </w:r>
      <w:r>
        <w:t xml:space="preserve"> </w:t>
      </w:r>
      <w:r>
        <w:rPr>
          <w:b/>
          <w:bCs/>
        </w:rPr>
        <w:t xml:space="preserve">تحذيرات:</w:t>
      </w:r>
      <w:r>
        <w:t xml:space="preserve"> </w:t>
      </w:r>
      <w:r>
        <w:t xml:space="preserve">يثبط إنزيمات CYP3A4 وCYP2D6 (تفاعل مع الوارفارين والسيكلوسبورين). غير آمن في الحمل والرضاعة.</w:t>
      </w:r>
    </w:p>
    <w:bookmarkEnd w:id="49"/>
    <w:bookmarkStart w:id="50" w:name="الكيتونات-الخارجية-exogenous-ketones"/>
    <w:p>
      <w:pPr>
        <w:pStyle w:val="2"/>
      </w:pPr>
      <w:r>
        <w:t xml:space="preserve">3. الكيتونات الخارجية (Exogenous Ketones)</w:t>
      </w:r>
    </w:p>
    <w:p>
      <w:pPr>
        <w:pStyle w:val="FirstParagraph"/>
      </w:pPr>
      <w:r>
        <w:rPr>
          <w:b/>
          <w:bCs/>
        </w:rPr>
        <w:t xml:space="preserve">الآلية:</w:t>
      </w:r>
      <w:r>
        <w:t xml:space="preserve"> </w:t>
      </w:r>
      <w:r>
        <w:t xml:space="preserve">أملاح أو إسترات β-هيدروكسي بيوتيرات ترفع الكيتون في الدم خلال 30–60 دقيقة دون صيام.</w:t>
      </w:r>
    </w:p>
    <w:tbl>
      <w:tblPr>
        <w:tblStyle w:val="Table"/>
        <w:tblW w:type="pct" w:w="5000"/>
        <w:jc w:val="left"/>
        <w:tblLayout w:type="fixed"/>
        <w:tblLook w:firstRow="1" w:lastRow="0" w:firstColumn="0" w:lastColumn="0" w:noHBand="0" w:noVBand="0" w:val="0020"/>
      </w:tblPr>
      <w:tblGrid>
        <w:gridCol w:w="2310"/>
        <w:gridCol w:w="2970"/>
        <w:gridCol w:w="2640"/>
      </w:tblGrid>
      <w:tr>
        <w:trPr>
          <w:tblHeader w:val="on"/>
        </w:trPr>
        <w:tc>
          <w:tcPr/>
          <w:p>
            <w:pPr>
              <w:pStyle w:val="Compact"/>
              <w:jc w:val="left"/>
            </w:pPr>
            <w:r>
              <w:t xml:space="preserve">المدة</w:t>
            </w:r>
          </w:p>
        </w:tc>
        <w:tc>
          <w:tcPr/>
          <w:p>
            <w:pPr>
              <w:pStyle w:val="Compact"/>
              <w:jc w:val="left"/>
            </w:pPr>
            <w:r>
              <w:t xml:space="preserve">التأثير</w:t>
            </w:r>
          </w:p>
        </w:tc>
        <w:tc>
          <w:tcPr/>
          <w:p>
            <w:pPr>
              <w:pStyle w:val="Compact"/>
              <w:jc w:val="left"/>
            </w:pPr>
            <w:r>
              <w:t xml:space="preserve">الدليل</w:t>
            </w:r>
          </w:p>
        </w:tc>
      </w:tr>
      <w:tr>
        <w:tc>
          <w:tcPr/>
          <w:p>
            <w:pPr>
              <w:pStyle w:val="Compact"/>
              <w:jc w:val="left"/>
            </w:pPr>
            <w:r>
              <w:rPr>
                <w:b/>
                <w:bCs/>
              </w:rPr>
              <w:t xml:space="preserve">قصيرة (دقائق–ساعات)</w:t>
            </w:r>
          </w:p>
        </w:tc>
        <w:tc>
          <w:tcPr/>
          <w:p>
            <w:pPr>
              <w:pStyle w:val="Compact"/>
              <w:jc w:val="left"/>
            </w:pPr>
            <w:r>
              <w:t xml:space="preserve">↓ جلوكوز الدم 1.1 ملمول/لتر، ↓ شهية 15–20%، ↑ أداء معرفي</w:t>
            </w:r>
          </w:p>
        </w:tc>
        <w:tc>
          <w:tcPr/>
          <w:p>
            <w:pPr>
              <w:pStyle w:val="Compact"/>
              <w:jc w:val="left"/>
            </w:pPr>
            <w:r>
              <w:t xml:space="preserve">تجارب على رياضيين ومتطوعين أصحاء</w:t>
            </w:r>
          </w:p>
        </w:tc>
      </w:tr>
      <w:tr>
        <w:tc>
          <w:tcPr/>
          <w:p>
            <w:pPr>
              <w:pStyle w:val="Compact"/>
              <w:jc w:val="left"/>
            </w:pPr>
            <w:r>
              <w:rPr>
                <w:b/>
                <w:bCs/>
              </w:rPr>
              <w:t xml:space="preserve">طويلة (أسابيع–أشهر)</w:t>
            </w:r>
          </w:p>
        </w:tc>
        <w:tc>
          <w:tcPr/>
          <w:p>
            <w:pPr>
              <w:pStyle w:val="Compact"/>
              <w:jc w:val="left"/>
            </w:pPr>
            <w:r>
              <w:t xml:space="preserve">↓ دهون الجسم 2.1 كجم، ↑ كتلة عضلية 1.3 كجم، ↓ IL-6 وTNF-α</w:t>
            </w:r>
          </w:p>
        </w:tc>
        <w:tc>
          <w:tcPr/>
          <w:p>
            <w:pPr>
              <w:pStyle w:val="Compact"/>
              <w:jc w:val="left"/>
            </w:pPr>
            <w:r>
              <w:t xml:space="preserve">تجربة 12 أسبوعاً (n=40)</w:t>
            </w:r>
          </w:p>
        </w:tc>
      </w:tr>
    </w:tbl>
    <w:p>
      <w:pPr>
        <w:pStyle w:val="a0"/>
      </w:pPr>
      <w:r>
        <w:t xml:space="preserve">⚠️</w:t>
      </w:r>
      <w:r>
        <w:t xml:space="preserve"> </w:t>
      </w:r>
      <w:r>
        <w:rPr>
          <w:b/>
          <w:bCs/>
        </w:rPr>
        <w:t xml:space="preserve">تحذيرات:</w:t>
      </w:r>
      <w:r>
        <w:t xml:space="preserve"> </w:t>
      </w:r>
      <w:r>
        <w:t xml:space="preserve">لا تحفز التكيف الميتوكوندري طويل المدى مثل النظام الكيتوني الغذائي. تكلفة عالية (3–5 دولار/جرعة). خطر حماض كيتوني غير سكري لمرضى النوع الأول.</w:t>
      </w:r>
    </w:p>
    <w:bookmarkEnd w:id="50"/>
    <w:bookmarkStart w:id="51" w:name="النظام-الكيتوني-الدوري-cyclical-keto"/>
    <w:p>
      <w:pPr>
        <w:pStyle w:val="2"/>
      </w:pPr>
      <w:r>
        <w:t xml:space="preserve">4. النظام الكيتوني الدوري (Cyclical Keto)</w:t>
      </w:r>
    </w:p>
    <w:p>
      <w:pPr>
        <w:pStyle w:val="FirstParagraph"/>
      </w:pPr>
      <w:r>
        <w:rPr>
          <w:b/>
          <w:bCs/>
        </w:rPr>
        <w:t xml:space="preserve">الآلية:</w:t>
      </w:r>
      <w:r>
        <w:t xml:space="preserve"> </w:t>
      </w:r>
      <w:r>
        <w:t xml:space="preserve">النظام الكيتوني المستمر طويل المدى قد يحفز</w:t>
      </w:r>
      <w:r>
        <w:t xml:space="preserve"> </w:t>
      </w:r>
      <w:r>
        <w:rPr>
          <w:b/>
          <w:bCs/>
        </w:rPr>
        <w:t xml:space="preserve">شيخوخة خلوية (senescence)</w:t>
      </w:r>
      <w:r>
        <w:t xml:space="preserve"> </w:t>
      </w:r>
      <w:r>
        <w:t xml:space="preserve">في القلب والكلى عبر تنشيط p53. الدورية تمنع هذا التكيف السلبي.</w:t>
      </w:r>
    </w:p>
    <w:tbl>
      <w:tblPr>
        <w:tblStyle w:val="Table"/>
        <w:tblW w:type="pct" w:w="5000"/>
        <w:jc w:val="left"/>
        <w:tblLayout w:type="fixed"/>
        <w:tblLook w:firstRow="1" w:lastRow="0" w:firstColumn="0" w:lastColumn="0" w:noHBand="0" w:noVBand="0" w:val="0020"/>
      </w:tblPr>
      <w:tblGrid>
        <w:gridCol w:w="2501"/>
        <w:gridCol w:w="3751"/>
        <w:gridCol w:w="1667"/>
      </w:tblGrid>
      <w:tr>
        <w:trPr>
          <w:tblHeader w:val="on"/>
        </w:trPr>
        <w:tc>
          <w:tcPr/>
          <w:p>
            <w:pPr>
              <w:pStyle w:val="Compact"/>
              <w:jc w:val="left"/>
            </w:pPr>
            <w:r>
              <w:t xml:space="preserve">البروتوكول</w:t>
            </w:r>
          </w:p>
        </w:tc>
        <w:tc>
          <w:tcPr/>
          <w:p>
            <w:pPr>
              <w:pStyle w:val="Compact"/>
              <w:jc w:val="left"/>
            </w:pPr>
            <w:r>
              <w:t xml:space="preserve">الفائدة الوقائية</w:t>
            </w:r>
          </w:p>
        </w:tc>
        <w:tc>
          <w:tcPr/>
          <w:p>
            <w:pPr>
              <w:pStyle w:val="Compact"/>
              <w:jc w:val="left"/>
            </w:pPr>
            <w:r>
              <w:t xml:space="preserve">الدليل</w:t>
            </w:r>
          </w:p>
        </w:tc>
      </w:tr>
      <w:tr>
        <w:tc>
          <w:tcPr/>
          <w:p>
            <w:pPr>
              <w:pStyle w:val="Compact"/>
              <w:jc w:val="left"/>
            </w:pPr>
            <w:r>
              <w:rPr>
                <w:b/>
                <w:bCs/>
              </w:rPr>
              <w:t xml:space="preserve">كيتو 5 أيام + كربوهيدرات 2 يوم</w:t>
            </w:r>
          </w:p>
        </w:tc>
        <w:tc>
          <w:tcPr/>
          <w:p>
            <w:pPr>
              <w:pStyle w:val="Compact"/>
              <w:jc w:val="left"/>
            </w:pPr>
            <w:r>
              <w:t xml:space="preserve">استعادة الجليكوجين، ↓ إجهاد p53، ↑ تنوع ميكروبي</w:t>
            </w:r>
          </w:p>
        </w:tc>
        <w:tc>
          <w:tcPr/>
          <w:p>
            <w:pPr>
              <w:pStyle w:val="Compact"/>
              <w:jc w:val="left"/>
            </w:pPr>
            <w:r>
              <w:t xml:space="preserve">دراسات حيوانية 2024</w:t>
            </w:r>
          </w:p>
        </w:tc>
      </w:tr>
      <w:tr>
        <w:tc>
          <w:tcPr/>
          <w:p>
            <w:pPr>
              <w:pStyle w:val="Compact"/>
              <w:jc w:val="left"/>
            </w:pPr>
            <w:r>
              <w:rPr>
                <w:b/>
                <w:bCs/>
              </w:rPr>
              <w:t xml:space="preserve">كيتو 3 أسابيع + أسبوع إعادة تغذية</w:t>
            </w:r>
          </w:p>
        </w:tc>
        <w:tc>
          <w:tcPr/>
          <w:p>
            <w:pPr>
              <w:pStyle w:val="Compact"/>
              <w:jc w:val="left"/>
            </w:pPr>
            <w:r>
              <w:t xml:space="preserve">تنشيط إصلاح DNA، ↓ التهاب</w:t>
            </w:r>
          </w:p>
        </w:tc>
        <w:tc>
          <w:tcPr/>
          <w:p>
            <w:pPr>
              <w:pStyle w:val="Compact"/>
              <w:jc w:val="left"/>
            </w:pPr>
            <w:r>
              <w:t xml:space="preserve">نماذج حيوانية</w:t>
            </w:r>
          </w:p>
        </w:tc>
      </w:tr>
    </w:tbl>
    <w:p>
      <w:pPr>
        <w:pStyle w:val="a0"/>
      </w:pPr>
      <w:r>
        <w:t xml:space="preserve">⚠️</w:t>
      </w:r>
      <w:r>
        <w:t xml:space="preserve"> </w:t>
      </w:r>
      <w:r>
        <w:rPr>
          <w:b/>
          <w:bCs/>
        </w:rPr>
        <w:t xml:space="preserve">تحذير:</w:t>
      </w:r>
      <w:r>
        <w:t xml:space="preserve"> </w:t>
      </w:r>
      <w:r>
        <w:t xml:space="preserve">لا توجد بيانات بشرية طويلة المدى (&gt;1 سنة) بعد.</w:t>
      </w:r>
    </w:p>
    <w:bookmarkEnd w:id="51"/>
    <w:bookmarkStart w:id="52" w:name="التبريد-الغذائي-cold-exposure-nutrition"/>
    <w:p>
      <w:pPr>
        <w:pStyle w:val="2"/>
      </w:pPr>
      <w:r>
        <w:t xml:space="preserve">5. التبريد الغذائي (Cold Exposure + Nutrition)</w:t>
      </w:r>
    </w:p>
    <w:p>
      <w:pPr>
        <w:pStyle w:val="FirstParagraph"/>
      </w:pPr>
      <w:r>
        <w:t xml:space="preserve">التعرض للبرد (10–16°م) يحفز الدهون البنية ويغير تفضيل الوقود:</w:t>
      </w:r>
      <w:r>
        <w:t xml:space="preserve"> </w:t>
      </w:r>
      <w:r>
        <w:t xml:space="preserve">- ↑ أكسدة الدهون بنسبة 30–50% أثناء الراحة.</w:t>
      </w:r>
      <w:r>
        <w:t xml:space="preserve"> </w:t>
      </w:r>
      <w:r>
        <w:t xml:space="preserve">- التفاعل مع البروتين العالي: ↑ استهلاك الطاقة بمقدار 18%.</w:t>
      </w:r>
      <w:r>
        <w:t xml:space="preserve"> </w:t>
      </w:r>
      <w:r>
        <w:t xml:space="preserve">- التفاعل مع الكابسيسين: ↑ استهلاك الطاقة بمقدار 22%.</w:t>
      </w:r>
      <w:r>
        <w:t xml:space="preserve"> </w:t>
      </w:r>
      <w:r>
        <w:t xml:space="preserve">- ⚠️ 30–40% من الناس لديهم استجابة ضعيفة للبرد. الجمع مع تقييد السعرات قد يضر بالغدة الدرقية.</w:t>
      </w:r>
    </w:p>
    <w:bookmarkEnd w:id="52"/>
    <w:bookmarkStart w:id="53" w:name="السبيرميدين-spermidine"/>
    <w:p>
      <w:pPr>
        <w:pStyle w:val="2"/>
      </w:pPr>
      <w:r>
        <w:t xml:space="preserve">6. السبيرميدين (Spermidine)</w:t>
      </w:r>
    </w:p>
    <w:p>
      <w:pPr>
        <w:pStyle w:val="FirstParagraph"/>
      </w:pPr>
      <w:r>
        <w:rPr>
          <w:b/>
          <w:bCs/>
        </w:rPr>
        <w:t xml:space="preserve">الآلية:</w:t>
      </w:r>
      <w:r>
        <w:t xml:space="preserve"> </w:t>
      </w:r>
      <w:r>
        <w:t xml:space="preserve">بولي أمين طبيعي يثبط EP300 → نزع أسيتيل عن بروتينات الالتهام الذاتي → تنشيط مسار الالتهام الذاتي (Autophagy) المستقل عن mTOR.</w:t>
      </w:r>
    </w:p>
    <w:tbl>
      <w:tblPr>
        <w:tblStyle w:val="Table"/>
        <w:tblW w:type="pct" w:w="5000"/>
        <w:jc w:val="left"/>
        <w:tblLayout w:type="fixed"/>
        <w:tblLook w:firstRow="1" w:lastRow="0" w:firstColumn="0" w:lastColumn="0" w:noHBand="0" w:noVBand="0" w:val="0020"/>
      </w:tblPr>
      <w:tblGrid>
        <w:gridCol w:w="2310"/>
        <w:gridCol w:w="2970"/>
        <w:gridCol w:w="2640"/>
      </w:tblGrid>
      <w:tr>
        <w:trPr>
          <w:tblHeader w:val="on"/>
        </w:trPr>
        <w:tc>
          <w:tcPr/>
          <w:p>
            <w:pPr>
              <w:pStyle w:val="Compact"/>
              <w:jc w:val="left"/>
            </w:pPr>
            <w:r>
              <w:t xml:space="preserve">المدة</w:t>
            </w:r>
          </w:p>
        </w:tc>
        <w:tc>
          <w:tcPr/>
          <w:p>
            <w:pPr>
              <w:pStyle w:val="Compact"/>
              <w:jc w:val="left"/>
            </w:pPr>
            <w:r>
              <w:t xml:space="preserve">التأثير</w:t>
            </w:r>
          </w:p>
        </w:tc>
        <w:tc>
          <w:tcPr/>
          <w:p>
            <w:pPr>
              <w:pStyle w:val="Compact"/>
              <w:jc w:val="left"/>
            </w:pPr>
            <w:r>
              <w:t xml:space="preserve">الدليل</w:t>
            </w:r>
          </w:p>
        </w:tc>
      </w:tr>
      <w:tr>
        <w:tc>
          <w:tcPr/>
          <w:p>
            <w:pPr>
              <w:pStyle w:val="Compact"/>
              <w:jc w:val="left"/>
            </w:pPr>
            <w:r>
              <w:rPr>
                <w:b/>
                <w:bCs/>
              </w:rPr>
              <w:t xml:space="preserve">قصيرة (أسابيع)</w:t>
            </w:r>
          </w:p>
        </w:tc>
        <w:tc>
          <w:tcPr/>
          <w:p>
            <w:pPr>
              <w:pStyle w:val="Compact"/>
              <w:jc w:val="left"/>
            </w:pPr>
            <w:r>
              <w:t xml:space="preserve">↓ انتفاخ، تحسن نوم، ↑ علامات الالتهام الذاتي في الدم</w:t>
            </w:r>
          </w:p>
        </w:tc>
        <w:tc>
          <w:tcPr/>
          <w:p>
            <w:pPr>
              <w:pStyle w:val="Compact"/>
              <w:jc w:val="left"/>
            </w:pPr>
            <w:r>
              <w:t xml:space="preserve">تجربة عشوائية (n=60 مسناً)</w:t>
            </w:r>
          </w:p>
        </w:tc>
      </w:tr>
      <w:tr>
        <w:tc>
          <w:tcPr/>
          <w:p>
            <w:pPr>
              <w:pStyle w:val="Compact"/>
              <w:jc w:val="left"/>
            </w:pPr>
            <w:r>
              <w:rPr>
                <w:b/>
                <w:bCs/>
              </w:rPr>
              <w:t xml:space="preserve">طويلة (سنوات)</w:t>
            </w:r>
          </w:p>
        </w:tc>
        <w:tc>
          <w:tcPr/>
          <w:p>
            <w:pPr>
              <w:pStyle w:val="Compact"/>
              <w:jc w:val="left"/>
            </w:pPr>
            <w:r>
              <w:t xml:space="preserve">↓ وفيات قلبية وعائية 40%، ↓ خرف 35%</w:t>
            </w:r>
          </w:p>
        </w:tc>
        <w:tc>
          <w:tcPr/>
          <w:p>
            <w:pPr>
              <w:pStyle w:val="Compact"/>
              <w:jc w:val="left"/>
            </w:pPr>
            <w:r>
              <w:t xml:space="preserve">دراسة وبائية أوروبية (تتبع 20 سنة، n=829)</w:t>
            </w:r>
          </w:p>
        </w:tc>
      </w:tr>
    </w:tbl>
    <w:p>
      <w:pPr>
        <w:pStyle w:val="a0"/>
      </w:pPr>
      <w:r>
        <w:t xml:space="preserve">⚠️</w:t>
      </w:r>
      <w:r>
        <w:t xml:space="preserve"> </w:t>
      </w:r>
      <w:r>
        <w:rPr>
          <w:b/>
          <w:bCs/>
        </w:rPr>
        <w:t xml:space="preserve">تحذير:</w:t>
      </w:r>
      <w:r>
        <w:t xml:space="preserve"> </w:t>
      </w:r>
      <w:r>
        <w:t xml:space="preserve">في حالات أورام خاملة، قد يدعم الالتهام الذاتي بقاء الخلايا السرطانية.</w:t>
      </w:r>
    </w:p>
    <w:bookmarkEnd w:id="53"/>
    <w:bookmarkStart w:id="54" w:name="النظام-الكارنيفورصفر-كربوهيدرات"/>
    <w:p>
      <w:pPr>
        <w:pStyle w:val="2"/>
      </w:pPr>
      <w:r>
        <w:t xml:space="preserve">7. النظام الكارنيفور/صفر كربوهيدرات</w:t>
      </w:r>
    </w:p>
    <w:p>
      <w:pPr>
        <w:pStyle w:val="FirstParagraph"/>
      </w:pPr>
      <w:r>
        <w:rPr>
          <w:b/>
          <w:bCs/>
        </w:rPr>
        <w:t xml:space="preserve">الآلية:</w:t>
      </w:r>
      <w:r>
        <w:t xml:space="preserve"> </w:t>
      </w:r>
      <w:r>
        <w:t xml:space="preserve">إقصاء جميع المركبات النباتية → ↓ عبء المستضدات المعوية، تحويل أيضي إجباري عبر استحداث السكر وكيتوزية خفيفة.</w:t>
      </w:r>
    </w:p>
    <w:tbl>
      <w:tblPr>
        <w:tblStyle w:val="Table"/>
        <w:tblW w:type="pct" w:w="5000"/>
        <w:jc w:val="left"/>
        <w:tblLayout w:type="fixed"/>
        <w:tblLook w:firstRow="1" w:lastRow="0" w:firstColumn="0" w:lastColumn="0" w:noHBand="0" w:noVBand="0" w:val="0020"/>
      </w:tblPr>
      <w:tblGrid>
        <w:gridCol w:w="2310"/>
        <w:gridCol w:w="2970"/>
        <w:gridCol w:w="2640"/>
      </w:tblGrid>
      <w:tr>
        <w:trPr>
          <w:tblHeader w:val="on"/>
        </w:trPr>
        <w:tc>
          <w:tcPr/>
          <w:p>
            <w:pPr>
              <w:pStyle w:val="Compact"/>
              <w:jc w:val="left"/>
            </w:pPr>
            <w:r>
              <w:t xml:space="preserve">المدة</w:t>
            </w:r>
          </w:p>
        </w:tc>
        <w:tc>
          <w:tcPr/>
          <w:p>
            <w:pPr>
              <w:pStyle w:val="Compact"/>
              <w:jc w:val="left"/>
            </w:pPr>
            <w:r>
              <w:t xml:space="preserve">التأثير</w:t>
            </w:r>
          </w:p>
        </w:tc>
        <w:tc>
          <w:tcPr/>
          <w:p>
            <w:pPr>
              <w:pStyle w:val="Compact"/>
              <w:jc w:val="left"/>
            </w:pPr>
            <w:r>
              <w:t xml:space="preserve">الدليل</w:t>
            </w:r>
          </w:p>
        </w:tc>
      </w:tr>
      <w:tr>
        <w:tc>
          <w:tcPr/>
          <w:p>
            <w:pPr>
              <w:pStyle w:val="Compact"/>
              <w:jc w:val="left"/>
            </w:pPr>
            <w:r>
              <w:rPr>
                <w:b/>
                <w:bCs/>
              </w:rPr>
              <w:t xml:space="preserve">قصيرة (أسابيع)</w:t>
            </w:r>
          </w:p>
        </w:tc>
        <w:tc>
          <w:tcPr/>
          <w:p>
            <w:pPr>
              <w:pStyle w:val="Compact"/>
              <w:jc w:val="left"/>
            </w:pPr>
            <w:r>
              <w:t xml:space="preserve">↓ انتفاخ، ↑ شبع، فقدان ماء سريع، ↓ علامات التهابية</w:t>
            </w:r>
          </w:p>
        </w:tc>
        <w:tc>
          <w:tcPr/>
          <w:p>
            <w:pPr>
              <w:pStyle w:val="Compact"/>
              <w:jc w:val="left"/>
            </w:pPr>
            <w:r>
              <w:t xml:space="preserve">مسح ذاتي عالمي (n&gt;1500)</w:t>
            </w:r>
          </w:p>
        </w:tc>
      </w:tr>
      <w:tr>
        <w:tc>
          <w:tcPr/>
          <w:p>
            <w:pPr>
              <w:pStyle w:val="Compact"/>
              <w:jc w:val="left"/>
            </w:pPr>
            <w:r>
              <w:rPr>
                <w:b/>
                <w:bCs/>
              </w:rPr>
              <w:t xml:space="preserve">طويلة (أشهر)</w:t>
            </w:r>
          </w:p>
        </w:tc>
        <w:tc>
          <w:tcPr/>
          <w:p>
            <w:pPr>
              <w:pStyle w:val="Compact"/>
              <w:jc w:val="left"/>
            </w:pPr>
            <w:r>
              <w:t xml:space="preserve">تحسن ذاتي في أمراض مناعية/هضمية عند فئة فرعية</w:t>
            </w:r>
          </w:p>
        </w:tc>
        <w:tc>
          <w:tcPr/>
          <w:p>
            <w:pPr>
              <w:pStyle w:val="Compact"/>
              <w:jc w:val="left"/>
            </w:pPr>
            <w:r>
              <w:t xml:space="preserve">حالات سريرية (مثل انفصام الشخصية المُحسَّن)</w:t>
            </w:r>
          </w:p>
        </w:tc>
      </w:tr>
    </w:tbl>
    <w:p>
      <w:pPr>
        <w:pStyle w:val="a0"/>
      </w:pPr>
      <w:r>
        <w:t xml:space="preserve">⚠️</w:t>
      </w:r>
      <w:r>
        <w:t xml:space="preserve"> </w:t>
      </w:r>
      <w:r>
        <w:rPr>
          <w:b/>
          <w:bCs/>
        </w:rPr>
        <w:t xml:space="preserve">المخاطر:</w:t>
      </w:r>
      <w:r>
        <w:t xml:space="preserve"> </w:t>
      </w:r>
      <w:r>
        <w:t xml:space="preserve">↓ تنوع ميكروبي 30%، ↓ إنتاج البوتيرات (ضعف حاجز قولوني)، ↑ TMAO محتمل، نقص فيتامين C/K2/مغنيسيوم. يُعتبر</w:t>
      </w:r>
      <w:r>
        <w:t xml:space="preserve"> </w:t>
      </w:r>
      <w:r>
        <w:rPr>
          <w:b/>
          <w:bCs/>
        </w:rPr>
        <w:t xml:space="preserve">“</w:t>
      </w:r>
      <w:r>
        <w:rPr>
          <w:b/>
          <w:bCs/>
        </w:rPr>
        <w:t xml:space="preserve">وضع أمان تشخيصي</w:t>
      </w:r>
      <w:r>
        <w:rPr>
          <w:b/>
          <w:bCs/>
        </w:rPr>
        <w:t xml:space="preserve">”</w:t>
      </w:r>
      <w:r>
        <w:t xml:space="preserve"> </w:t>
      </w:r>
      <w:r>
        <w:t xml:space="preserve">(Safe Mode) وليس نظام تشغيل دائم.</w:t>
      </w:r>
    </w:p>
    <w:p>
      <w:r>
        <w:pict>
          <v:rect style="width:0;height:1.5pt" o:hralign="center" o:hrstd="t" o:hr="t"/>
        </w:pict>
      </w:r>
    </w:p>
    <w:bookmarkEnd w:id="54"/>
    <w:bookmarkEnd w:id="55"/>
    <w:bookmarkStart w:id="59" w:name="Xbe7955509eae10fd388c5c11330e11261907823"/>
    <w:p>
      <w:pPr>
        <w:pStyle w:val="1"/>
      </w:pPr>
      <w:r>
        <w:t xml:space="preserve">الخاتمة: مبادئ تشغيلية موحدة للتغذية القائمة على الأدلة</w:t>
      </w:r>
    </w:p>
    <w:p>
      <w:pPr>
        <w:pStyle w:val="FirstParagraph"/>
      </w:pPr>
      <w:r>
        <w:t xml:space="preserve">بعد هذا التحليل الممتد عبر المجالات، تتبلور المبادئ التالية:</w:t>
      </w:r>
    </w:p>
    <w:bookmarkStart w:id="56" w:name="مبادئ-مدعومة-بأدلة-متعددة"/>
    <w:p>
      <w:pPr>
        <w:pStyle w:val="3"/>
      </w:pPr>
      <w:r>
        <w:t xml:space="preserve">✅ مبادئ مدعومة بأدلة متعددة</w:t>
      </w:r>
    </w:p>
    <w:p>
      <w:pPr>
        <w:pStyle w:val="Compact"/>
        <w:numPr>
          <w:ilvl w:val="0"/>
          <w:numId w:val="1006"/>
        </w:numPr>
      </w:pPr>
      <w:r>
        <w:rPr>
          <w:b/>
          <w:bCs/>
        </w:rPr>
        <w:t xml:space="preserve">الجرعة والسياق يحددان السمية والفائدة:</w:t>
      </w:r>
      <w:r>
        <w:t xml:space="preserve"> </w:t>
      </w:r>
      <w:r>
        <w:t xml:space="preserve">الميثيلين بلو منخفض الجرعة مفيد، عالي الجرعة سام. نفس المبدأ ينطبق على الكيتونات، البربرين، وحتى الصيام.</w:t>
      </w:r>
    </w:p>
    <w:p>
      <w:pPr>
        <w:pStyle w:val="Compact"/>
        <w:numPr>
          <w:ilvl w:val="0"/>
          <w:numId w:val="1006"/>
        </w:numPr>
      </w:pPr>
      <w:r>
        <w:rPr>
          <w:b/>
          <w:bCs/>
        </w:rPr>
        <w:t xml:space="preserve">التنوع والإيقاع أفضل من الثبات:</w:t>
      </w:r>
      <w:r>
        <w:t xml:space="preserve"> </w:t>
      </w:r>
      <w:r>
        <w:t xml:space="preserve">الأنظمة الدورية (كيتو دوري، صيام متقطع، كارنيفور موسمي) تحافظ على الفوائد مع تقليل المخاطر طويلة المدى.</w:t>
      </w:r>
    </w:p>
    <w:p>
      <w:pPr>
        <w:pStyle w:val="Compact"/>
        <w:numPr>
          <w:ilvl w:val="0"/>
          <w:numId w:val="1006"/>
        </w:numPr>
      </w:pPr>
      <w:r>
        <w:rPr>
          <w:b/>
          <w:bCs/>
        </w:rPr>
        <w:t xml:space="preserve">الفردية ضرورية:</w:t>
      </w:r>
      <w:r>
        <w:t xml:space="preserve"> </w:t>
      </w:r>
      <w:r>
        <w:t xml:space="preserve">الاستجابات تختلف بناءً على الجينات (HLA, FLG)، الميكروبيوم (TMAO, بوتيرات)، الجنس، والعمر. لا يوجد</w:t>
      </w:r>
      <w:r>
        <w:t xml:space="preserve"> </w:t>
      </w:r>
      <w:r>
        <w:t xml:space="preserve">“</w:t>
      </w:r>
      <w:r>
        <w:t xml:space="preserve">نظام واحد يناسب الجميع</w:t>
      </w:r>
      <w:r>
        <w:t xml:space="preserve">”</w:t>
      </w:r>
      <w:r>
        <w:t xml:space="preserve">.</w:t>
      </w:r>
    </w:p>
    <w:p>
      <w:pPr>
        <w:pStyle w:val="Compact"/>
        <w:numPr>
          <w:ilvl w:val="0"/>
          <w:numId w:val="1006"/>
        </w:numPr>
      </w:pPr>
      <w:r>
        <w:rPr>
          <w:b/>
          <w:bCs/>
        </w:rPr>
        <w:t xml:space="preserve">الجودة أهم من الكمية:</w:t>
      </w:r>
      <w:r>
        <w:t xml:space="preserve"> </w:t>
      </w:r>
      <w:r>
        <w:t xml:space="preserve">نوع الكربوهيدرات (كاملة vs مكررة) ونوع الدهون (غير مشبعة vs مشبعة) وطريقة الطهي (سلق vs قلي) أهم من عد السعرات أو الكوليسترول الغذائي وحده.</w:t>
      </w:r>
    </w:p>
    <w:p>
      <w:pPr>
        <w:pStyle w:val="Compact"/>
        <w:numPr>
          <w:ilvl w:val="0"/>
          <w:numId w:val="1006"/>
        </w:numPr>
      </w:pPr>
      <w:r>
        <w:rPr>
          <w:b/>
          <w:bCs/>
        </w:rPr>
        <w:t xml:space="preserve">الآليات المشتركة تعزز المصداقية:</w:t>
      </w:r>
      <w:r>
        <w:t xml:space="preserve"> </w:t>
      </w:r>
      <w:r>
        <w:t xml:space="preserve">عندما تتقاطع تدخلات مختلفة (بربرين، ميتفورمين، صيام) على نفس المسار (AMPK)، تزداد ثقتنا في أهمية هذا المسار.</w:t>
      </w:r>
    </w:p>
    <w:bookmarkEnd w:id="56"/>
    <w:bookmarkStart w:id="57" w:name="فجوات-بحثية-حرجة"/>
    <w:p>
      <w:pPr>
        <w:pStyle w:val="3"/>
      </w:pPr>
      <w:r>
        <w:t xml:space="preserve">⚠️ فجوات بحثية حرجة</w:t>
      </w:r>
    </w:p>
    <w:p>
      <w:pPr>
        <w:pStyle w:val="Compact"/>
        <w:numPr>
          <w:ilvl w:val="0"/>
          <w:numId w:val="1007"/>
        </w:numPr>
      </w:pPr>
      <w:r>
        <w:t xml:space="preserve">نقص التجارب البشرية طويلة المدى (&gt;1 سنة) للمكملات</w:t>
      </w:r>
      <w:r>
        <w:t xml:space="preserve"> </w:t>
      </w:r>
      <w:r>
        <w:t xml:space="preserve">“</w:t>
      </w:r>
      <w:r>
        <w:t xml:space="preserve">الغريبة</w:t>
      </w:r>
      <w:r>
        <w:t xml:space="preserve">”</w:t>
      </w:r>
      <w:r>
        <w:t xml:space="preserve"> </w:t>
      </w:r>
      <w:r>
        <w:t xml:space="preserve">(الميثيلين بلو، البربرين، السبيرميدين).</w:t>
      </w:r>
    </w:p>
    <w:p>
      <w:pPr>
        <w:pStyle w:val="Compact"/>
        <w:numPr>
          <w:ilvl w:val="0"/>
          <w:numId w:val="1007"/>
        </w:numPr>
      </w:pPr>
      <w:r>
        <w:t xml:space="preserve">غياب المقارنات المباشرة بين التدخلات (كيتون خارجي vs كيتون غذائي vs صيام).</w:t>
      </w:r>
    </w:p>
    <w:p>
      <w:pPr>
        <w:pStyle w:val="Compact"/>
        <w:numPr>
          <w:ilvl w:val="0"/>
          <w:numId w:val="1007"/>
        </w:numPr>
      </w:pPr>
      <w:r>
        <w:t xml:space="preserve">دور microRNAs الغذائية (XenomiRs) في تنظيم الجينات البشرية: فرضية مثيرة لكن الأدلة غير حاسمة.</w:t>
      </w:r>
    </w:p>
    <w:p>
      <w:pPr>
        <w:pStyle w:val="Compact"/>
        <w:numPr>
          <w:ilvl w:val="0"/>
          <w:numId w:val="1007"/>
        </w:numPr>
      </w:pPr>
      <w:r>
        <w:t xml:space="preserve">التأثير طويل المدى لاعتلالات عضلات الدواجن (الصدر الخشبي) على الصحة البشرية.</w:t>
      </w:r>
    </w:p>
    <w:bookmarkEnd w:id="57"/>
    <w:bookmarkStart w:id="58" w:name="التوصية-العملية-النهائية"/>
    <w:p>
      <w:pPr>
        <w:pStyle w:val="3"/>
      </w:pPr>
      <w:r>
        <w:t xml:space="preserve">🎯 التوصية العملية النهائية</w:t>
      </w:r>
    </w:p>
    <w:p>
      <w:pPr>
        <w:pStyle w:val="aa"/>
      </w:pPr>
      <w:r>
        <w:rPr>
          <w:b/>
          <w:bCs/>
        </w:rPr>
        <w:t xml:space="preserve">لا تتبنَّ التدخلات الغذائية كمعتقد، بل كتجربة مضبوطة:</w:t>
      </w:r>
      <w:r>
        <w:t xml:space="preserve"> </w:t>
      </w:r>
      <w:r>
        <w:t xml:space="preserve">ابدأ بجرعة منخفضة، راقب مؤشرات شخصية (سكر الدم، الطاقة، الهضم، النوم، علامات الالتهاب)، وثق تجربتك، واستعد للتعديل أو التوقف عند الحاجة. التغذية غير التقليدية ليست بديلاً عن الأساسيات (نوم، حركة، توازن عقلي)، بل مكمل ذكي يُستخدم بنية واضحة، زمن محدد، ومراقبة مستمرة.</w:t>
      </w:r>
    </w:p>
    <w:p>
      <w:pPr>
        <w:pStyle w:val="FirstParagraph"/>
      </w:pPr>
      <w:r>
        <w:rPr>
          <w:b/>
          <w:bCs/>
        </w:rPr>
        <w:t xml:space="preserve">البيض، عند استهلاكه بشكل مناسب، يظل واحداً من أكثر الأغذية كثافة بالمغذيات.</w:t>
      </w:r>
      <w:r>
        <w:t xml:space="preserve"> </w:t>
      </w:r>
      <w:r>
        <w:t xml:space="preserve">والدواجن، سواء عبر السلالات المحلية الغنية أو التقنية الحيوية المتقدمة، تظل محوراً أساسياً في التغذية البشرية. فهم التفاعلات المعقدة بين الطعام، الجينات، الميكروبيوم، والتمثيل الغذائي هو جوهر التغذية القائمة على الأدلة.</w:t>
      </w:r>
    </w:p>
    <w:p>
      <w:r>
        <w:pict>
          <v:rect style="width:0;height:1.5pt" o:hralign="center" o:hrstd="t" o:hr="t"/>
        </w:pict>
      </w:r>
    </w:p>
    <w:p>
      <w:pPr>
        <w:pStyle w:val="FirstParagraph"/>
      </w:pPr>
      <w:r>
        <w:rPr>
          <w:b/>
          <w:bCs/>
        </w:rPr>
        <w:t xml:space="preserve">User:</w:t>
      </w:r>
    </w:p>
    <w:p>
      <w:pPr>
        <w:pStyle w:val="a0"/>
      </w:pPr>
      <w:r>
        <w:t xml:space="preserve">Translate the following into English</w:t>
      </w:r>
    </w:p>
    <w:p>
      <w:r>
        <w:pict>
          <v:rect style="width:0;height:1.5pt" o:hralign="center" o:hrstd="t" o:hr="t"/>
        </w:pict>
      </w:r>
    </w:p>
    <w:p>
      <w:pPr>
        <w:pStyle w:val="FirstParagraph"/>
      </w:pPr>
      <w:r>
        <w:rPr>
          <w:b/>
          <w:bCs/>
        </w:rPr>
        <w:t xml:space="preserve">Kimi:</w:t>
      </w:r>
    </w:p>
    <w:bookmarkEnd w:id="58"/>
    <w:bookmarkEnd w:id="59"/>
    <w:bookmarkStart w:id="61" w:name="X7e4eb8618a531ca60d4106e8dc3246e9f5d96c6"/>
    <w:p>
      <w:pPr>
        <w:pStyle w:val="1"/>
      </w:pPr>
      <w:r>
        <w:t xml:space="preserve">The Comprehensive Hybrid File: Therapeutic Nutrition, Poultry, and Advanced Nutritional Interventions</w:t>
      </w:r>
    </w:p>
    <w:bookmarkStart w:id="60" w:name="X74c44eba9d5349a5de3c1dd8b15ab8a8a203d83"/>
    <w:p>
      <w:pPr>
        <w:pStyle w:val="2"/>
      </w:pPr>
      <w:r>
        <w:t xml:space="preserve">Introduction: Toward an Integrated, Evidence-Based Nutritional Model</w:t>
      </w:r>
    </w:p>
    <w:p>
      <w:pPr>
        <w:pStyle w:val="FirstParagraph"/>
      </w:pPr>
      <w:r>
        <w:t xml:space="preserve">This hybrid file presents a logical synthesis of four scientific axes:</w:t>
      </w:r>
      <w:r>
        <w:t xml:space="preserve"> </w:t>
      </w:r>
      <w:r>
        <w:rPr>
          <w:b/>
          <w:bCs/>
        </w:rPr>
        <w:t xml:space="preserve">Poultry and Eggs</w:t>
      </w:r>
      <w:r>
        <w:t xml:space="preserve"> </w:t>
      </w:r>
      <w:r>
        <w:t xml:space="preserve">(biochemistry, safety, genetic engineering),</w:t>
      </w:r>
      <w:r>
        <w:t xml:space="preserve"> </w:t>
      </w:r>
      <w:r>
        <w:rPr>
          <w:b/>
          <w:bCs/>
        </w:rPr>
        <w:t xml:space="preserve">General Therapeutic Nutrition</w:t>
      </w:r>
      <w:r>
        <w:t xml:space="preserve"> </w:t>
      </w:r>
      <w:r>
        <w:t xml:space="preserve">(correcting widespread misconceptions),</w:t>
      </w:r>
      <w:r>
        <w:t xml:space="preserve"> </w:t>
      </w:r>
      <w:r>
        <w:rPr>
          <w:b/>
          <w:bCs/>
        </w:rPr>
        <w:t xml:space="preserve">Non-Conventional Nutritional Interventions</w:t>
      </w:r>
      <w:r>
        <w:t xml:space="preserve"> </w:t>
      </w:r>
      <w:r>
        <w:t xml:space="preserve">(advanced supplements and techniques), and principles of</w:t>
      </w:r>
      <w:r>
        <w:t xml:space="preserve"> </w:t>
      </w:r>
      <w:r>
        <w:rPr>
          <w:b/>
          <w:bCs/>
        </w:rPr>
        <w:t xml:space="preserve">Individual Variation and the Microbiome</w:t>
      </w:r>
      <w:r>
        <w:t xml:space="preserve">. Repetitions have been removed, interconnected data merged into a unified causal context, and the content organized hierarchically for practical and clinical use.</w:t>
      </w:r>
    </w:p>
    <w:p>
      <w:r>
        <w:pict>
          <v:rect style="width:0;height:1.5pt" o:hralign="center" o:hrstd="t" o:hr="t"/>
        </w:pict>
      </w:r>
    </w:p>
    <w:bookmarkEnd w:id="60"/>
    <w:bookmarkEnd w:id="61"/>
    <w:bookmarkStart w:id="81" w:name="X4195efb5dfa8543308122d66d4ca3ea5acf5c56"/>
    <w:p>
      <w:pPr>
        <w:pStyle w:val="1"/>
      </w:pPr>
      <w:r>
        <w:t xml:space="preserve">Part One: Poultry and Eggs — From Biochemistry to Genetic Engineering</w:t>
      </w:r>
    </w:p>
    <w:bookmarkStart w:id="65" w:name="X79593511d7ea35ad2641df7dd9c28f65075b817"/>
    <w:p>
      <w:pPr>
        <w:pStyle w:val="2"/>
      </w:pPr>
      <w:r>
        <w:t xml:space="preserve">1. Culinary Biochemistry: How Heat Changes Eggs and Poultry</w:t>
      </w:r>
    </w:p>
    <w:bookmarkStart w:id="62" w:name="Xbe3192fe5a3f959e654a8825d536b05f514859d"/>
    <w:p>
      <w:pPr>
        <w:pStyle w:val="3"/>
      </w:pPr>
      <w:r>
        <w:t xml:space="preserve">A. Protein Denaturation and Digestibility — Cooked vs. Raw Eggs</w:t>
      </w:r>
    </w:p>
    <w:p>
      <w:pPr>
        <w:pStyle w:val="FirstParagraph"/>
      </w:pPr>
      <w:r>
        <w:t xml:space="preserve">Eggs serve as an ideal model for understanding how heat treatment is not merely</w:t>
      </w:r>
      <w:r>
        <w:t xml:space="preserve"> </w:t>
      </w:r>
      <w:r>
        <w:t xml:space="preserve">“</w:t>
      </w:r>
      <w:r>
        <w:t xml:space="preserve">cooking</w:t>
      </w:r>
      <w:r>
        <w:t xml:space="preserve">”</w:t>
      </w:r>
      <w:r>
        <w:t xml:space="preserve"> </w:t>
      </w:r>
      <w:r>
        <w:t xml:space="preserve">but rather</w:t>
      </w:r>
      <w:r>
        <w:t xml:space="preserve"> </w:t>
      </w:r>
      <w:r>
        <w:rPr>
          <w:b/>
          <w:bCs/>
        </w:rPr>
        <w:t xml:space="preserve">biochemical modification</w:t>
      </w:r>
      <w:r>
        <w:t xml:space="preserve"> </w:t>
      </w:r>
      <w:r>
        <w:t xml:space="preserve">that determines final nutritional value.</w:t>
      </w:r>
    </w:p>
    <w:tbl>
      <w:tblPr>
        <w:tblStyle w:val="Table"/>
        <w:tblW w:type="pct" w:w="5000"/>
        <w:jc w:val="left"/>
        <w:tblLayout w:type="fixed"/>
        <w:tblLook w:firstRow="1" w:lastRow="0" w:firstColumn="0" w:lastColumn="0" w:noHBand="0" w:noVBand="0" w:val="0020"/>
      </w:tblPr>
      <w:tblGrid>
        <w:gridCol w:w="1502"/>
        <w:gridCol w:w="1228"/>
        <w:gridCol w:w="2321"/>
        <w:gridCol w:w="2867"/>
      </w:tblGrid>
      <w:tr>
        <w:trPr>
          <w:tblHeader w:val="on"/>
        </w:trPr>
        <w:tc>
          <w:tcPr/>
          <w:p>
            <w:pPr>
              <w:pStyle w:val="Compact"/>
              <w:jc w:val="left"/>
            </w:pPr>
            <w:r>
              <w:t xml:space="preserve">Parameter</w:t>
            </w:r>
          </w:p>
        </w:tc>
        <w:tc>
          <w:tcPr/>
          <w:p>
            <w:pPr>
              <w:pStyle w:val="Compact"/>
              <w:jc w:val="left"/>
            </w:pPr>
            <w:r>
              <w:t xml:space="preserve">Raw Egg</w:t>
            </w:r>
          </w:p>
        </w:tc>
        <w:tc>
          <w:tcPr/>
          <w:p>
            <w:pPr>
              <w:pStyle w:val="Compact"/>
              <w:jc w:val="left"/>
            </w:pPr>
            <w:r>
              <w:t xml:space="preserve">Well-Cooked Egg</w:t>
            </w:r>
          </w:p>
        </w:tc>
        <w:tc>
          <w:tcPr/>
          <w:p>
            <w:pPr>
              <w:pStyle w:val="Compact"/>
              <w:jc w:val="left"/>
            </w:pPr>
            <w:r>
              <w:t xml:space="preserve">Scientific Evidence</w:t>
            </w:r>
          </w:p>
        </w:tc>
      </w:tr>
      <w:tr>
        <w:tc>
          <w:tcPr/>
          <w:p>
            <w:pPr>
              <w:pStyle w:val="Compact"/>
              <w:jc w:val="left"/>
            </w:pPr>
            <w:r>
              <w:rPr>
                <w:b/>
                <w:bCs/>
              </w:rPr>
              <w:t xml:space="preserve">Ileal Digestibility</w:t>
            </w:r>
          </w:p>
        </w:tc>
        <w:tc>
          <w:tcPr/>
          <w:p>
            <w:pPr>
              <w:pStyle w:val="Compact"/>
              <w:jc w:val="left"/>
            </w:pPr>
            <w:r>
              <w:t xml:space="preserve">51.3 ± 9.8%</w:t>
            </w:r>
          </w:p>
        </w:tc>
        <w:tc>
          <w:tcPr/>
          <w:p>
            <w:pPr>
              <w:pStyle w:val="Compact"/>
              <w:jc w:val="left"/>
            </w:pPr>
            <w:r>
              <w:t xml:space="preserve">90.9 ± 0.8%</w:t>
            </w:r>
          </w:p>
        </w:tc>
        <w:tc>
          <w:tcPr/>
          <w:p>
            <w:pPr>
              <w:pStyle w:val="Compact"/>
              <w:jc w:val="left"/>
            </w:pPr>
            <w:r>
              <w:t xml:space="preserve">Evenepoel 1998 trial using stable isotopes</w:t>
            </w:r>
          </w:p>
        </w:tc>
      </w:tr>
      <w:tr>
        <w:tc>
          <w:tcPr/>
          <w:p>
            <w:pPr>
              <w:pStyle w:val="Compact"/>
              <w:jc w:val="left"/>
            </w:pPr>
            <w:r>
              <w:rPr>
                <w:b/>
                <w:bCs/>
              </w:rPr>
              <w:t xml:space="preserve">Amino Acid Absorption Rate</w:t>
            </w:r>
          </w:p>
        </w:tc>
        <w:tc>
          <w:tcPr/>
          <w:p>
            <w:pPr>
              <w:pStyle w:val="Compact"/>
              <w:jc w:val="left"/>
            </w:pPr>
            <w:r>
              <w:t xml:space="preserve">Slow and incomplete</w:t>
            </w:r>
          </w:p>
        </w:tc>
        <w:tc>
          <w:tcPr/>
          <w:p>
            <w:pPr>
              <w:pStyle w:val="Compact"/>
              <w:jc w:val="left"/>
            </w:pPr>
            <w:r>
              <w:t xml:space="preserve">Fast and near-complete</w:t>
            </w:r>
          </w:p>
        </w:tc>
        <w:tc>
          <w:tcPr/>
          <w:p>
            <w:pPr>
              <w:pStyle w:val="Compact"/>
              <w:jc w:val="left"/>
            </w:pPr>
            <w:r>
              <w:t xml:space="preserve">Same reference</w:t>
            </w:r>
          </w:p>
        </w:tc>
      </w:tr>
      <w:tr>
        <w:tc>
          <w:tcPr/>
          <w:p>
            <w:pPr>
              <w:pStyle w:val="Compact"/>
              <w:jc w:val="left"/>
            </w:pPr>
            <w:r>
              <w:rPr>
                <w:b/>
                <w:bCs/>
              </w:rPr>
              <w:t xml:space="preserve">Muscle Protein Synthesis Stimulation</w:t>
            </w:r>
          </w:p>
        </w:tc>
        <w:tc>
          <w:tcPr/>
          <w:p>
            <w:pPr>
              <w:pStyle w:val="Compact"/>
              <w:jc w:val="left"/>
            </w:pPr>
            <w:r>
              <w:t xml:space="preserve">Relatively low</w:t>
            </w:r>
          </w:p>
        </w:tc>
        <w:tc>
          <w:tcPr/>
          <w:p>
            <w:pPr>
              <w:pStyle w:val="Compact"/>
              <w:jc w:val="left"/>
            </w:pPr>
            <w:r>
              <w:t xml:space="preserve">~40% higher</w:t>
            </w:r>
          </w:p>
        </w:tc>
        <w:tc>
          <w:tcPr/>
          <w:p>
            <w:pPr>
              <w:pStyle w:val="Compact"/>
              <w:jc w:val="left"/>
            </w:pPr>
            <w:r>
              <w:t xml:space="preserve">Subsequent athlete studies</w:t>
            </w:r>
          </w:p>
        </w:tc>
      </w:tr>
      <w:tr>
        <w:tc>
          <w:tcPr/>
          <w:p>
            <w:pPr>
              <w:pStyle w:val="Compact"/>
              <w:jc w:val="left"/>
            </w:pPr>
            <w:r>
              <w:rPr>
                <w:b/>
                <w:bCs/>
              </w:rPr>
              <w:t xml:space="preserve">Biotin Bioavailability</w:t>
            </w:r>
          </w:p>
        </w:tc>
        <w:tc>
          <w:tcPr/>
          <w:p>
            <w:pPr>
              <w:pStyle w:val="Compact"/>
              <w:jc w:val="left"/>
            </w:pPr>
            <w:r>
              <w:t xml:space="preserve">Very low</w:t>
            </w:r>
          </w:p>
        </w:tc>
        <w:tc>
          <w:tcPr/>
          <w:p>
            <w:pPr>
              <w:pStyle w:val="Compact"/>
              <w:jc w:val="left"/>
            </w:pPr>
            <w:r>
              <w:t xml:space="preserve">High</w:t>
            </w:r>
          </w:p>
        </w:tc>
        <w:tc>
          <w:tcPr/>
          <w:p>
            <w:pPr>
              <w:pStyle w:val="Compact"/>
              <w:jc w:val="left"/>
            </w:pPr>
            <w:r>
              <w:t xml:space="preserve">Heat inactivation of Avidin</w:t>
            </w:r>
          </w:p>
        </w:tc>
      </w:tr>
      <w:tr>
        <w:tc>
          <w:tcPr/>
          <w:p>
            <w:pPr>
              <w:pStyle w:val="Compact"/>
              <w:jc w:val="left"/>
            </w:pPr>
            <w:r>
              <w:rPr>
                <w:b/>
                <w:bCs/>
              </w:rPr>
              <w:t xml:space="preserve">Salmonella Exposure</w:t>
            </w:r>
          </w:p>
        </w:tc>
        <w:tc>
          <w:tcPr/>
          <w:p>
            <w:pPr>
              <w:pStyle w:val="Compact"/>
              <w:jc w:val="left"/>
            </w:pPr>
            <w:r>
              <w:t xml:space="preserve">High</w:t>
            </w:r>
          </w:p>
        </w:tc>
        <w:tc>
          <w:tcPr/>
          <w:p>
            <w:pPr>
              <w:pStyle w:val="Compact"/>
              <w:jc w:val="left"/>
            </w:pPr>
            <w:r>
              <w:t xml:space="preserve">Very low (if cooked &gt;74°C)</w:t>
            </w:r>
          </w:p>
        </w:tc>
        <w:tc>
          <w:tcPr/>
          <w:p>
            <w:pPr>
              <w:pStyle w:val="Compact"/>
              <w:jc w:val="left"/>
            </w:pPr>
            <w:r>
              <w:t xml:space="preserve">EFSA</w:t>
            </w:r>
          </w:p>
        </w:tc>
      </w:tr>
    </w:tbl>
    <w:p>
      <w:pPr>
        <w:pStyle w:val="a0"/>
      </w:pPr>
      <w:r>
        <w:rPr>
          <w:b/>
          <w:bCs/>
        </w:rPr>
        <w:t xml:space="preserve">Biochemical mechanisms behind these differences:</w:t>
      </w:r>
    </w:p>
    <w:p>
      <w:pPr>
        <w:pStyle w:val="Compact"/>
        <w:numPr>
          <w:ilvl w:val="0"/>
          <w:numId w:val="1008"/>
        </w:numPr>
      </w:pPr>
      <w:r>
        <w:rPr>
          <w:b/>
          <w:bCs/>
        </w:rPr>
        <w:t xml:space="preserve">Tertiary and Quaternary Structure Denaturation:</w:t>
      </w:r>
      <w:r>
        <w:t xml:space="preserve"> </w:t>
      </w:r>
      <w:r>
        <w:t xml:space="preserve">Heat (&gt;60–70°C) breaks hydrogen bonds, hydrophobic interactions, and disulfide bridges that maintain the protein’s folded structure. This exposes enzymatic cleavage sites (for pepsin, trypsin, and chymotrypsin) previously hidden inside the folded conformation.</w:t>
      </w:r>
    </w:p>
    <w:p>
      <w:pPr>
        <w:pStyle w:val="Compact"/>
        <w:numPr>
          <w:ilvl w:val="0"/>
          <w:numId w:val="1008"/>
        </w:numPr>
      </w:pPr>
      <w:r>
        <w:rPr>
          <w:b/>
          <w:bCs/>
        </w:rPr>
        <w:t xml:space="preserve">Enzyme Inhibitor Inactivation:</w:t>
      </w:r>
      <w:r>
        <w:t xml:space="preserve"> </w:t>
      </w:r>
      <w:r>
        <w:t xml:space="preserve">Raw egg white contains</w:t>
      </w:r>
      <w:r>
        <w:t xml:space="preserve"> </w:t>
      </w:r>
      <w:r>
        <w:rPr>
          <w:b/>
          <w:bCs/>
        </w:rPr>
        <w:t xml:space="preserve">ovomucoid</w:t>
      </w:r>
      <w:r>
        <w:t xml:space="preserve"> </w:t>
      </w:r>
      <w:r>
        <w:t xml:space="preserve">(trypsin inhibitor) and</w:t>
      </w:r>
      <w:r>
        <w:t xml:space="preserve"> </w:t>
      </w:r>
      <w:r>
        <w:rPr>
          <w:b/>
          <w:bCs/>
        </w:rPr>
        <w:t xml:space="preserve">ovostatin</w:t>
      </w:r>
      <w:r>
        <w:t xml:space="preserve"> </w:t>
      </w:r>
      <w:r>
        <w:t xml:space="preserve">(chymotrypsin inhibitor). Adequate heating partially neutralizes their activity.</w:t>
      </w:r>
    </w:p>
    <w:p>
      <w:pPr>
        <w:pStyle w:val="Compact"/>
        <w:numPr>
          <w:ilvl w:val="0"/>
          <w:numId w:val="1008"/>
        </w:numPr>
      </w:pPr>
      <w:r>
        <w:rPr>
          <w:b/>
          <w:bCs/>
        </w:rPr>
        <w:t xml:space="preserve">Avidin Inactivation:</w:t>
      </w:r>
      <w:r>
        <w:t xml:space="preserve"> </w:t>
      </w:r>
      <w:r>
        <w:t xml:space="preserve">The avidin protein binds biotin with ultra-high affinity (binding constant ~10¹⁵ M⁻¹), forming a non-absorbable complex. Heat destroys this binding capacity.</w:t>
      </w:r>
    </w:p>
    <w:bookmarkEnd w:id="62"/>
    <w:bookmarkStart w:id="63" w:name="X71c78feae346dc6d80f83396d9a38d715c408a7"/>
    <w:p>
      <w:pPr>
        <w:pStyle w:val="3"/>
      </w:pPr>
      <w:r>
        <w:t xml:space="preserve">B. Antioxidants and Cooking Method Sensitivity — Frying vs. Boiling</w:t>
      </w:r>
    </w:p>
    <w:p>
      <w:pPr>
        <w:pStyle w:val="FirstParagraph"/>
      </w:pPr>
      <w:r>
        <w:t xml:space="preserve">While cooking improves protein digestion, the</w:t>
      </w:r>
      <w:r>
        <w:t xml:space="preserve"> </w:t>
      </w:r>
      <w:r>
        <w:rPr>
          <w:b/>
          <w:bCs/>
        </w:rPr>
        <w:t xml:space="preserve">cooking method</w:t>
      </w:r>
      <w:r>
        <w:t xml:space="preserve"> </w:t>
      </w:r>
      <w:r>
        <w:t xml:space="preserve">critically affects antioxidant availability:</w:t>
      </w:r>
    </w:p>
    <w:p>
      <w:pPr>
        <w:pStyle w:val="Compact"/>
        <w:numPr>
          <w:ilvl w:val="0"/>
          <w:numId w:val="1009"/>
        </w:numPr>
      </w:pPr>
      <w:r>
        <w:rPr>
          <w:b/>
          <w:bCs/>
        </w:rPr>
        <w:t xml:space="preserve">Boiling:</w:t>
      </w:r>
      <w:r>
        <w:t xml:space="preserve"> </w:t>
      </w:r>
      <w:r>
        <w:t xml:space="preserve">Preserves</w:t>
      </w:r>
      <w:r>
        <w:t xml:space="preserve"> </w:t>
      </w:r>
      <w:r>
        <w:rPr>
          <w:b/>
          <w:bCs/>
        </w:rPr>
        <w:t xml:space="preserve">all-E-lutein</w:t>
      </w:r>
      <w:r>
        <w:t xml:space="preserve"> </w:t>
      </w:r>
      <w:r>
        <w:t xml:space="preserve">and</w:t>
      </w:r>
      <w:r>
        <w:t xml:space="preserve"> </w:t>
      </w:r>
      <w:r>
        <w:rPr>
          <w:b/>
          <w:bCs/>
        </w:rPr>
        <w:t xml:space="preserve">all-E-zeaxanthin</w:t>
      </w:r>
      <w:r>
        <w:t xml:space="preserve"> </w:t>
      </w:r>
      <w:r>
        <w:t xml:space="preserve">(eye-protecting pigments) better because it minimizes direct oxidation exposure of the lipids carrying these pigments.</w:t>
      </w:r>
    </w:p>
    <w:p>
      <w:pPr>
        <w:pStyle w:val="Compact"/>
        <w:numPr>
          <w:ilvl w:val="0"/>
          <w:numId w:val="1009"/>
        </w:numPr>
      </w:pPr>
      <w:r>
        <w:rPr>
          <w:b/>
          <w:bCs/>
        </w:rPr>
        <w:t xml:space="preserve">Frying/Scrambling:</w:t>
      </w:r>
      <w:r>
        <w:t xml:space="preserve"> </w:t>
      </w:r>
      <w:r>
        <w:t xml:space="preserve">Significantly reduces the</w:t>
      </w:r>
      <w:r>
        <w:t xml:space="preserve"> </w:t>
      </w:r>
      <w:r>
        <w:rPr>
          <w:b/>
          <w:bCs/>
        </w:rPr>
        <w:t xml:space="preserve">bioaccessibility</w:t>
      </w:r>
      <w:r>
        <w:t xml:space="preserve"> </w:t>
      </w:r>
      <w:r>
        <w:t xml:space="preserve">of these antioxidants because whipping and exposure to air and high heat oxidize the lipid carriers.</w:t>
      </w:r>
    </w:p>
    <w:p>
      <w:pPr>
        <w:pStyle w:val="aa"/>
      </w:pPr>
      <w:r>
        <w:rPr>
          <w:b/>
          <w:bCs/>
        </w:rPr>
        <w:t xml:space="preserve">Practical conclusion:</w:t>
      </w:r>
      <w:r>
        <w:t xml:space="preserve"> </w:t>
      </w:r>
      <w:r>
        <w:t xml:space="preserve">If the goal is</w:t>
      </w:r>
      <w:r>
        <w:t xml:space="preserve"> </w:t>
      </w:r>
      <w:r>
        <w:rPr>
          <w:b/>
          <w:bCs/>
        </w:rPr>
        <w:t xml:space="preserve">muscle building and optimal digestion</w:t>
      </w:r>
      <w:r>
        <w:t xml:space="preserve"> </w:t>
      </w:r>
      <w:r>
        <w:t xml:space="preserve">— thorough cooking is required. If the goal is</w:t>
      </w:r>
      <w:r>
        <w:t xml:space="preserve"> </w:t>
      </w:r>
      <w:r>
        <w:rPr>
          <w:b/>
          <w:bCs/>
        </w:rPr>
        <w:t xml:space="preserve">eye protection and maximum antioxidant benefit</w:t>
      </w:r>
      <w:r>
        <w:t xml:space="preserve"> </w:t>
      </w:r>
      <w:r>
        <w:t xml:space="preserve">— boiling is superior to frying or excessive scrambling.</w:t>
      </w:r>
    </w:p>
    <w:bookmarkEnd w:id="63"/>
    <w:bookmarkStart w:id="64" w:name="Xbba515a051e910d82b82ff8c5526a872494d6ed"/>
    <w:p>
      <w:pPr>
        <w:pStyle w:val="3"/>
      </w:pPr>
      <w:r>
        <w:t xml:space="preserve">C. Microbiological Safety: Salmonella Kill Dynamics</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Temperature</w:t>
            </w:r>
          </w:p>
        </w:tc>
        <w:tc>
          <w:tcPr/>
          <w:p>
            <w:pPr>
              <w:pStyle w:val="Compact"/>
              <w:jc w:val="left"/>
            </w:pPr>
            <w:r>
              <w:t xml:space="preserve">Time Required to Eliminate Salmonella</w:t>
            </w:r>
          </w:p>
        </w:tc>
      </w:tr>
      <w:tr>
        <w:tc>
          <w:tcPr/>
          <w:p>
            <w:pPr>
              <w:pStyle w:val="Compact"/>
              <w:jc w:val="left"/>
            </w:pPr>
            <w:r>
              <w:rPr>
                <w:b/>
                <w:bCs/>
              </w:rPr>
              <w:t xml:space="preserve">74°C (165°F)</w:t>
            </w:r>
          </w:p>
        </w:tc>
        <w:tc>
          <w:tcPr/>
          <w:p>
            <w:pPr>
              <w:pStyle w:val="Compact"/>
              <w:jc w:val="left"/>
            </w:pPr>
            <w:r>
              <w:t xml:space="preserve">Instant kill (&lt; 1 second)</w:t>
            </w:r>
          </w:p>
        </w:tc>
      </w:tr>
      <w:tr>
        <w:tc>
          <w:tcPr/>
          <w:p>
            <w:pPr>
              <w:pStyle w:val="Compact"/>
              <w:jc w:val="left"/>
            </w:pPr>
            <w:r>
              <w:rPr>
                <w:b/>
                <w:bCs/>
              </w:rPr>
              <w:t xml:space="preserve">62°C (144°F)</w:t>
            </w:r>
          </w:p>
        </w:tc>
        <w:tc>
          <w:tcPr/>
          <w:p>
            <w:pPr>
              <w:pStyle w:val="Compact"/>
              <w:jc w:val="left"/>
            </w:pPr>
            <w:r>
              <w:t xml:space="preserve">At least 30 minutes</w:t>
            </w:r>
          </w:p>
        </w:tc>
      </w:tr>
      <w:tr>
        <w:tc>
          <w:tcPr/>
          <w:p>
            <w:pPr>
              <w:pStyle w:val="Compact"/>
              <w:jc w:val="left"/>
            </w:pPr>
            <w:r>
              <w:rPr>
                <w:b/>
                <w:bCs/>
              </w:rPr>
              <w:t xml:space="preserve">57°C (135°F)</w:t>
            </w:r>
          </w:p>
        </w:tc>
        <w:tc>
          <w:tcPr/>
          <w:p>
            <w:pPr>
              <w:pStyle w:val="Compact"/>
              <w:jc w:val="left"/>
            </w:pPr>
            <w:r>
              <w:t xml:space="preserve">Hours (impractical)</w:t>
            </w:r>
          </w:p>
        </w:tc>
      </w:tr>
    </w:tbl>
    <w:p>
      <w:pPr>
        <w:pStyle w:val="a0"/>
      </w:pPr>
      <w:r>
        <w:rPr>
          <w:b/>
          <w:bCs/>
        </w:rPr>
        <w:t xml:space="preserve">Practical recommendations:</w:t>
      </w:r>
      <w:r>
        <w:t xml:space="preserve"> </w:t>
      </w:r>
      <w:r>
        <w:t xml:space="preserve">-</w:t>
      </w:r>
      <w:r>
        <w:t xml:space="preserve"> </w:t>
      </w:r>
      <w:r>
        <w:rPr>
          <w:b/>
          <w:bCs/>
        </w:rPr>
        <w:t xml:space="preserve">Hard-boiled eggs:</w:t>
      </w:r>
      <w:r>
        <w:t xml:space="preserve"> </w:t>
      </w:r>
      <w:r>
        <w:t xml:space="preserve">Both yolk and white completely solid ensure all parts reach &gt;74°C.</w:t>
      </w:r>
      <w:r>
        <w:t xml:space="preserve"> </w:t>
      </w:r>
      <w:r>
        <w:t xml:space="preserve">-</w:t>
      </w:r>
      <w:r>
        <w:t xml:space="preserve"> </w:t>
      </w:r>
      <w:r>
        <w:rPr>
          <w:b/>
          <w:bCs/>
        </w:rPr>
        <w:t xml:space="preserve">Soft-boiled eggs (</w:t>
      </w:r>
      <w:r>
        <w:rPr>
          <w:b/>
          <w:bCs/>
        </w:rPr>
        <w:t xml:space="preserve">“</w:t>
      </w:r>
      <w:r>
        <w:rPr>
          <w:b/>
          <w:bCs/>
        </w:rPr>
        <w:t xml:space="preserve">sunny side</w:t>
      </w:r>
      <w:r>
        <w:rPr>
          <w:b/>
          <w:bCs/>
        </w:rPr>
        <w:t xml:space="preserve">”</w:t>
      </w:r>
      <w:r>
        <w:rPr>
          <w:b/>
          <w:bCs/>
        </w:rPr>
        <w:t xml:space="preserve">):</w:t>
      </w:r>
      <w:r>
        <w:t xml:space="preserve"> </w:t>
      </w:r>
      <w:r>
        <w:t xml:space="preserve">Carry residual risk if yolk temperature does not reach 62°C for 30 minutes. Advised against for children, pregnant women, elderly, and immunocompromised individuals.</w:t>
      </w:r>
      <w:r>
        <w:t xml:space="preserve"> </w:t>
      </w:r>
      <w:r>
        <w:t xml:space="preserve">-</w:t>
      </w:r>
      <w:r>
        <w:t xml:space="preserve"> </w:t>
      </w:r>
      <w:r>
        <w:rPr>
          <w:b/>
          <w:bCs/>
        </w:rPr>
        <w:t xml:space="preserve">Pasteurized eggs:</w:t>
      </w:r>
      <w:r>
        <w:t xml:space="preserve"> </w:t>
      </w:r>
      <w:r>
        <w:t xml:space="preserve">Controlled heat treatment (60–65°C for several minutes) eliminates pathogens while preserving protein functional properties, making them safe for recipes requiring uncooked eggs (homemade mayonnaise, chocolate mousse).</w:t>
      </w:r>
    </w:p>
    <w:p>
      <w:r>
        <w:pict>
          <v:rect style="width:0;height:1.5pt" o:hralign="center" o:hrstd="t" o:hr="t"/>
        </w:pict>
      </w:r>
    </w:p>
    <w:bookmarkEnd w:id="64"/>
    <w:bookmarkEnd w:id="65"/>
    <w:bookmarkStart w:id="70" w:name="X362036897c7881f22262b305bd27eb273b28b91"/>
    <w:p>
      <w:pPr>
        <w:pStyle w:val="2"/>
      </w:pPr>
      <w:r>
        <w:t xml:space="preserve">2. Genetics and Biotechnology: A Revolution in Poultry Production</w:t>
      </w:r>
    </w:p>
    <w:bookmarkStart w:id="66" w:name="X1c153d8329f383a808d2da5a19c00c468e62cb6"/>
    <w:p>
      <w:pPr>
        <w:pStyle w:val="3"/>
      </w:pPr>
      <w:r>
        <w:t xml:space="preserve">A. Indigenous Breeds vs. Fast-Growing Commercial Broilers</w:t>
      </w:r>
    </w:p>
    <w:p>
      <w:pPr>
        <w:pStyle w:val="FirstParagraph"/>
      </w:pPr>
      <w:r>
        <w:t xml:space="preserve">Recent research demonstrates that:</w:t>
      </w:r>
      <w:r>
        <w:t xml:space="preserve"> </w:t>
      </w:r>
      <w:r>
        <w:t xml:space="preserve">-</w:t>
      </w:r>
      <w:r>
        <w:t xml:space="preserve"> </w:t>
      </w:r>
      <w:r>
        <w:rPr>
          <w:b/>
          <w:bCs/>
        </w:rPr>
        <w:t xml:space="preserve">Older indigenous breeds and specific crossbreeds</w:t>
      </w:r>
      <w:r>
        <w:t xml:space="preserve"> </w:t>
      </w:r>
      <w:r>
        <w:t xml:space="preserve">produce meat richer in essential amino acids, trace elements, and desirable polyunsaturated fatty acids (PUFA).</w:t>
      </w:r>
      <w:r>
        <w:t xml:space="preserve"> </w:t>
      </w:r>
      <w:r>
        <w:t xml:space="preserve">-</w:t>
      </w:r>
      <w:r>
        <w:t xml:space="preserve"> </w:t>
      </w:r>
      <w:r>
        <w:rPr>
          <w:b/>
          <w:bCs/>
        </w:rPr>
        <w:t xml:space="preserve">Fast-growing commercial broilers:</w:t>
      </w:r>
      <w:r>
        <w:t xml:space="preserve"> </w:t>
      </w:r>
      <w:r>
        <w:t xml:space="preserve">Result from</w:t>
      </w:r>
      <w:r>
        <w:t xml:space="preserve"> </w:t>
      </w:r>
      <w:r>
        <w:rPr>
          <w:b/>
          <w:bCs/>
        </w:rPr>
        <w:t xml:space="preserve">genetic selection and nutritional optimization</w:t>
      </w:r>
      <w:r>
        <w:t xml:space="preserve"> </w:t>
      </w:r>
      <w:r>
        <w:t xml:space="preserve">(not external hormones as commonly believed), but suffer from muscle myopathies (woody breast, white striping) affecting tissue quality and nutritional value.</w:t>
      </w:r>
    </w:p>
    <w:bookmarkEnd w:id="66"/>
    <w:bookmarkStart w:id="67" w:name="Xaad87c4d5a1882c440aefb95ea4736b197c1a94"/>
    <w:p>
      <w:pPr>
        <w:pStyle w:val="3"/>
      </w:pPr>
      <w:r>
        <w:t xml:space="preserve">B. Woody Breast Myopathy: From Molecular Mechanism to Artificial Intelligence</w:t>
      </w:r>
    </w:p>
    <w:p>
      <w:pPr>
        <w:pStyle w:val="Compact"/>
        <w:numPr>
          <w:ilvl w:val="0"/>
          <w:numId w:val="1010"/>
        </w:numPr>
      </w:pPr>
      <w:r>
        <w:rPr>
          <w:b/>
          <w:bCs/>
        </w:rPr>
        <w:t xml:space="preserve">Molecular mechanism (2025–2026):</w:t>
      </w:r>
      <w:r>
        <w:t xml:space="preserve"> </w:t>
      </w:r>
      <w:r>
        <w:rPr>
          <w:b/>
          <w:bCs/>
        </w:rPr>
        <w:t xml:space="preserve">Mitochondrial calcium overload</w:t>
      </w:r>
      <w:r>
        <w:t xml:space="preserve"> </w:t>
      </w:r>
      <w:r>
        <w:t xml:space="preserve">and subsequent</w:t>
      </w:r>
      <w:r>
        <w:t xml:space="preserve"> </w:t>
      </w:r>
      <w:r>
        <w:rPr>
          <w:b/>
          <w:bCs/>
        </w:rPr>
        <w:t xml:space="preserve">cellular hypoxia</w:t>
      </w:r>
      <w:r>
        <w:t xml:space="preserve"> </w:t>
      </w:r>
      <w:r>
        <w:t xml:space="preserve">have been identified as the primary mechanisms behind muscle myopathy in fast-growing chickens.</w:t>
      </w:r>
    </w:p>
    <w:p>
      <w:pPr>
        <w:pStyle w:val="Compact"/>
        <w:numPr>
          <w:ilvl w:val="0"/>
          <w:numId w:val="1010"/>
        </w:numPr>
      </w:pPr>
      <w:r>
        <w:rPr>
          <w:b/>
          <w:bCs/>
        </w:rPr>
        <w:t xml:space="preserve">Technical solution:</w:t>
      </w:r>
      <w:r>
        <w:t xml:space="preserve"> </w:t>
      </w:r>
      <w:r>
        <w:t xml:space="preserve">Deployment of</w:t>
      </w:r>
      <w:r>
        <w:t xml:space="preserve"> </w:t>
      </w:r>
      <w:r>
        <w:rPr>
          <w:b/>
          <w:bCs/>
        </w:rPr>
        <w:t xml:space="preserve">hyperspectral cameras</w:t>
      </w:r>
      <w:r>
        <w:t xml:space="preserve"> </w:t>
      </w:r>
      <w:r>
        <w:t xml:space="preserve">paired with</w:t>
      </w:r>
      <w:r>
        <w:t xml:space="preserve"> </w:t>
      </w:r>
      <w:r>
        <w:rPr>
          <w:b/>
          <w:bCs/>
        </w:rPr>
        <w:t xml:space="preserve">machine learning</w:t>
      </w:r>
      <w:r>
        <w:t xml:space="preserve"> </w:t>
      </w:r>
      <w:r>
        <w:t xml:space="preserve">to</w:t>
      </w:r>
      <w:r>
        <w:t xml:space="preserve"> </w:t>
      </w:r>
      <w:r>
        <w:t xml:space="preserve">“</w:t>
      </w:r>
      <w:r>
        <w:t xml:space="preserve">see</w:t>
      </w:r>
      <w:r>
        <w:t xml:space="preserve">”</w:t>
      </w:r>
      <w:r>
        <w:t xml:space="preserve"> </w:t>
      </w:r>
      <w:r>
        <w:t xml:space="preserve">inside meat and detect woody breast with</w:t>
      </w:r>
      <w:r>
        <w:t xml:space="preserve"> </w:t>
      </w:r>
      <w:r>
        <w:rPr>
          <w:b/>
          <w:bCs/>
        </w:rPr>
        <w:t xml:space="preserve">95% accuracy</w:t>
      </w:r>
      <w:r>
        <w:t xml:space="preserve">. Detected meat is diverted to ground chicken products where the textural defect goes unnoticed.</w:t>
      </w:r>
    </w:p>
    <w:bookmarkEnd w:id="67"/>
    <w:bookmarkStart w:id="68" w:name="c.-pharmaceutical-eggs-pharm-eggs"/>
    <w:p>
      <w:pPr>
        <w:pStyle w:val="3"/>
      </w:pPr>
      <w:r>
        <w:t xml:space="preserve">C. Pharmaceutical Eggs (Pharm Eggs)</w:t>
      </w:r>
    </w:p>
    <w:p>
      <w:pPr>
        <w:pStyle w:val="FirstParagraph"/>
      </w:pPr>
      <w:r>
        <w:t xml:space="preserve">In a massive biotechnological leap, chicken genomes have been edited using CRISPR so they lay eggs containing highly concentrated</w:t>
      </w:r>
      <w:r>
        <w:t xml:space="preserve"> </w:t>
      </w:r>
      <w:r>
        <w:rPr>
          <w:b/>
          <w:bCs/>
        </w:rPr>
        <w:t xml:space="preserve">human therapeutic proteins</w:t>
      </w:r>
      <w:r>
        <w:t xml:space="preserve"> </w:t>
      </w:r>
      <w:r>
        <w:t xml:space="preserve">in the egg white, including:</w:t>
      </w:r>
      <w:r>
        <w:t xml:space="preserve"> </w:t>
      </w:r>
      <w:r>
        <w:t xml:space="preserve">-</w:t>
      </w:r>
      <w:r>
        <w:t xml:space="preserve"> </w:t>
      </w:r>
      <w:r>
        <w:rPr>
          <w:b/>
          <w:bCs/>
        </w:rPr>
        <w:t xml:space="preserve">IFNalpha2a:</w:t>
      </w:r>
      <w:r>
        <w:t xml:space="preserve"> </w:t>
      </w:r>
      <w:r>
        <w:t xml:space="preserve">A protein with potent antiviral and anti-cancer effects.</w:t>
      </w:r>
      <w:r>
        <w:t xml:space="preserve"> </w:t>
      </w:r>
      <w:r>
        <w:t xml:space="preserve">-</w:t>
      </w:r>
      <w:r>
        <w:t xml:space="preserve"> </w:t>
      </w:r>
      <w:r>
        <w:rPr>
          <w:b/>
          <w:bCs/>
        </w:rPr>
        <w:t xml:space="preserve">Result:</w:t>
      </w:r>
      <w:r>
        <w:t xml:space="preserve"> </w:t>
      </w:r>
      <w:r>
        <w:t xml:space="preserve">Transforming the chicken into a</w:t>
      </w:r>
      <w:r>
        <w:t xml:space="preserve"> </w:t>
      </w:r>
      <w:r>
        <w:rPr>
          <w:b/>
          <w:bCs/>
        </w:rPr>
        <w:t xml:space="preserve">cost-efficient bioreactor</w:t>
      </w:r>
      <w:r>
        <w:t xml:space="preserve"> </w:t>
      </w:r>
      <w:r>
        <w:t xml:space="preserve">for human drug manufacturing.</w:t>
      </w:r>
    </w:p>
    <w:bookmarkEnd w:id="68"/>
    <w:bookmarkStart w:id="69" w:name="d.-flu-resistant-chickens"/>
    <w:p>
      <w:pPr>
        <w:pStyle w:val="3"/>
      </w:pPr>
      <w:r>
        <w:t xml:space="preserve">D. Flu-Resistant Chickens</w:t>
      </w:r>
    </w:p>
    <w:p>
      <w:pPr>
        <w:pStyle w:val="FirstParagraph"/>
      </w:pPr>
      <w:r>
        <w:t xml:space="preserve">Using advanced gene editing (CRISPR-style), researchers removed a specific DNA segment responsible for producing the</w:t>
      </w:r>
      <w:r>
        <w:t xml:space="preserve"> </w:t>
      </w:r>
      <w:r>
        <w:rPr>
          <w:b/>
          <w:bCs/>
        </w:rPr>
        <w:t xml:space="preserve">ANP32A</w:t>
      </w:r>
      <w:r>
        <w:t xml:space="preserve"> </w:t>
      </w:r>
      <w:r>
        <w:t xml:space="preserve">molecule in chicken cells. Since avian influenza virus must hijack this specific molecule to replicate, these gene-edited chickens are</w:t>
      </w:r>
      <w:r>
        <w:t xml:space="preserve"> </w:t>
      </w:r>
      <w:r>
        <w:rPr>
          <w:b/>
          <w:bCs/>
        </w:rPr>
        <w:t xml:space="preserve">entirely resistant</w:t>
      </w:r>
      <w:r>
        <w:t xml:space="preserve"> </w:t>
      </w:r>
      <w:r>
        <w:t xml:space="preserve">to bird flu — a major breakthrough for global agricultural biosecurity.</w:t>
      </w:r>
    </w:p>
    <w:p>
      <w:r>
        <w:pict>
          <v:rect style="width:0;height:1.5pt" o:hralign="center" o:hrstd="t" o:hr="t"/>
        </w:pict>
      </w:r>
    </w:p>
    <w:bookmarkEnd w:id="69"/>
    <w:bookmarkEnd w:id="70"/>
    <w:bookmarkStart w:id="73" w:name="X3dc022e1ff1500080e1dd0ebe8ac644b10f14d0"/>
    <w:p>
      <w:pPr>
        <w:pStyle w:val="2"/>
      </w:pPr>
      <w:r>
        <w:t xml:space="preserve">3. Bioactive Peptides and Dietary Genetic Material</w:t>
      </w:r>
    </w:p>
    <w:bookmarkStart w:id="71" w:name="a.-egg-derived-bioactive-peptides"/>
    <w:p>
      <w:pPr>
        <w:pStyle w:val="3"/>
      </w:pPr>
      <w:r>
        <w:t xml:space="preserve">A. Egg-Derived Bioactive Peptides</w:t>
      </w:r>
    </w:p>
    <w:p>
      <w:pPr>
        <w:pStyle w:val="FirstParagraph"/>
      </w:pPr>
      <w:r>
        <w:t xml:space="preserve">Recent research (2025–2026) redefines eggs from mere macronutrient sources to</w:t>
      </w:r>
      <w:r>
        <w:t xml:space="preserve"> </w:t>
      </w:r>
      <w:r>
        <w:rPr>
          <w:b/>
          <w:bCs/>
        </w:rPr>
        <w:t xml:space="preserve">peptide pharmaceutical factories</w:t>
      </w:r>
      <w:r>
        <w:t xml:space="preserve">:</w:t>
      </w:r>
    </w:p>
    <w:tbl>
      <w:tblPr>
        <w:tblStyle w:val="Table"/>
        <w:tblW w:type="pct" w:w="5000"/>
        <w:jc w:val="left"/>
        <w:tblLayout w:type="fixed"/>
        <w:tblLook w:firstRow="1" w:lastRow="0" w:firstColumn="0" w:lastColumn="0" w:noHBand="0" w:noVBand="0" w:val="0020"/>
      </w:tblPr>
      <w:tblGrid>
        <w:gridCol w:w="2084"/>
        <w:gridCol w:w="2917"/>
        <w:gridCol w:w="2917"/>
      </w:tblGrid>
      <w:tr>
        <w:trPr>
          <w:tblHeader w:val="on"/>
        </w:trPr>
        <w:tc>
          <w:tcPr/>
          <w:p>
            <w:pPr>
              <w:pStyle w:val="Compact"/>
              <w:jc w:val="left"/>
            </w:pPr>
            <w:r>
              <w:t xml:space="preserve">Peptide/Class</w:t>
            </w:r>
          </w:p>
        </w:tc>
        <w:tc>
          <w:tcPr/>
          <w:p>
            <w:pPr>
              <w:pStyle w:val="Compact"/>
              <w:jc w:val="left"/>
            </w:pPr>
            <w:r>
              <w:t xml:space="preserve">Discovered Function</w:t>
            </w:r>
          </w:p>
        </w:tc>
        <w:tc>
          <w:tcPr/>
          <w:p>
            <w:pPr>
              <w:pStyle w:val="Compact"/>
              <w:jc w:val="left"/>
            </w:pPr>
            <w:r>
              <w:t xml:space="preserve">Potential Application</w:t>
            </w:r>
          </w:p>
        </w:tc>
      </w:tr>
      <w:tr>
        <w:tc>
          <w:tcPr/>
          <w:p>
            <w:pPr>
              <w:pStyle w:val="Compact"/>
              <w:jc w:val="left"/>
            </w:pPr>
            <w:r>
              <w:rPr>
                <w:b/>
                <w:bCs/>
              </w:rPr>
              <w:t xml:space="preserve">Ovipin</w:t>
            </w:r>
            <w:r>
              <w:t xml:space="preserve"> </w:t>
            </w:r>
            <w:r>
              <w:t xml:space="preserve">and other egg white peptides</w:t>
            </w:r>
          </w:p>
        </w:tc>
        <w:tc>
          <w:tcPr/>
          <w:p>
            <w:pPr>
              <w:pStyle w:val="Compact"/>
              <w:jc w:val="left"/>
            </w:pPr>
            <w:r>
              <w:t xml:space="preserve">Potent antimicrobial properties</w:t>
            </w:r>
          </w:p>
        </w:tc>
        <w:tc>
          <w:tcPr/>
          <w:p>
            <w:pPr>
              <w:pStyle w:val="Compact"/>
              <w:jc w:val="left"/>
            </w:pPr>
            <w:r>
              <w:t xml:space="preserve">Natural alternatives to antibiotics in food preservation or therapy</w:t>
            </w:r>
          </w:p>
        </w:tc>
      </w:tr>
      <w:tr>
        <w:tc>
          <w:tcPr/>
          <w:p>
            <w:pPr>
              <w:pStyle w:val="Compact"/>
              <w:jc w:val="left"/>
            </w:pPr>
            <w:r>
              <w:rPr>
                <w:b/>
                <w:bCs/>
              </w:rPr>
              <w:t xml:space="preserve">Bone-stimulating peptides</w:t>
            </w:r>
          </w:p>
        </w:tc>
        <w:tc>
          <w:tcPr/>
          <w:p>
            <w:pPr>
              <w:pStyle w:val="Compact"/>
              <w:jc w:val="left"/>
            </w:pPr>
            <w:r>
              <w:t xml:space="preserve">Stimulate osteoblast activity</w:t>
            </w:r>
          </w:p>
        </w:tc>
        <w:tc>
          <w:tcPr/>
          <w:p>
            <w:pPr>
              <w:pStyle w:val="Compact"/>
              <w:jc w:val="left"/>
            </w:pPr>
            <w:r>
              <w:t xml:space="preserve">Matching or surpassing traditional treatments to promote bone formation and tissue repair</w:t>
            </w:r>
          </w:p>
        </w:tc>
      </w:tr>
    </w:tbl>
    <w:bookmarkEnd w:id="71"/>
    <w:bookmarkStart w:id="72" w:name="b.-dietary-microrna-xenomirs"/>
    <w:p>
      <w:pPr>
        <w:pStyle w:val="3"/>
      </w:pPr>
      <w:r>
        <w:t xml:space="preserve">B. Dietary microRNA (XenomiRs)</w:t>
      </w:r>
    </w:p>
    <w:p>
      <w:pPr>
        <w:pStyle w:val="Compact"/>
        <w:numPr>
          <w:ilvl w:val="0"/>
          <w:numId w:val="1011"/>
        </w:numPr>
      </w:pPr>
      <w:r>
        <w:rPr>
          <w:b/>
          <w:bCs/>
        </w:rPr>
        <w:t xml:space="preserve">Fundamental fact:</w:t>
      </w:r>
      <w:r>
        <w:t xml:space="preserve"> </w:t>
      </w:r>
      <w:r>
        <w:t xml:space="preserve">Intestinal digestion destroys nucleic acids (DNA/RNA) into basic nucleotides before absorption. Dietary genetic material</w:t>
      </w:r>
      <w:r>
        <w:t xml:space="preserve"> </w:t>
      </w:r>
      <w:r>
        <w:rPr>
          <w:b/>
          <w:bCs/>
        </w:rPr>
        <w:t xml:space="preserve">does not alter the human genome</w:t>
      </w:r>
      <w:r>
        <w:t xml:space="preserve">.</w:t>
      </w:r>
    </w:p>
    <w:p>
      <w:pPr>
        <w:pStyle w:val="Compact"/>
        <w:numPr>
          <w:ilvl w:val="0"/>
          <w:numId w:val="1011"/>
        </w:numPr>
      </w:pPr>
      <w:r>
        <w:rPr>
          <w:b/>
          <w:bCs/>
        </w:rPr>
        <w:t xml:space="preserve">Current research (2025–2026):</w:t>
      </w:r>
      <w:r>
        <w:t xml:space="preserve"> </w:t>
      </w:r>
      <w:r>
        <w:t xml:space="preserve">Despite controversy,</w:t>
      </w:r>
      <w:r>
        <w:t xml:space="preserve"> </w:t>
      </w:r>
      <w:r>
        <w:rPr>
          <w:i/>
          <w:iCs/>
        </w:rPr>
        <w:t xml:space="preserve">in silico</w:t>
      </w:r>
      <w:r>
        <w:t xml:space="preserve"> </w:t>
      </w:r>
      <w:r>
        <w:t xml:space="preserve">and</w:t>
      </w:r>
      <w:r>
        <w:t xml:space="preserve"> </w:t>
      </w:r>
      <w:r>
        <w:rPr>
          <w:i/>
          <w:iCs/>
        </w:rPr>
        <w:t xml:space="preserve">in vitro</w:t>
      </w:r>
      <w:r>
        <w:t xml:space="preserve"> </w:t>
      </w:r>
      <w:r>
        <w:t xml:space="preserve">studies are investigating whether highly stable microRNAs (xeno-miRs) densely present in eggs might influence human gene regulation pathways related to</w:t>
      </w:r>
      <w:r>
        <w:t xml:space="preserve"> </w:t>
      </w:r>
      <w:r>
        <w:rPr>
          <w:b/>
          <w:bCs/>
        </w:rPr>
        <w:t xml:space="preserve">chemotherapy response and cancer drug resistance</w:t>
      </w:r>
      <w:r>
        <w:t xml:space="preserve">.</w:t>
      </w:r>
    </w:p>
    <w:p>
      <w:pPr>
        <w:pStyle w:val="Compact"/>
        <w:numPr>
          <w:ilvl w:val="0"/>
          <w:numId w:val="1011"/>
        </w:numPr>
      </w:pPr>
      <w:r>
        <w:rPr>
          <w:b/>
          <w:bCs/>
        </w:rPr>
        <w:t xml:space="preserve">Critical assessment:</w:t>
      </w:r>
      <w:r>
        <w:t xml:space="preserve"> </w:t>
      </w:r>
      <w:r>
        <w:t xml:space="preserve">This hypothesis is intriguing but evidence remains inconclusive, with major challenges in reproducibility and distinguishing true signal from technical contamination. It remains an area of uncertainty requiring further research.</w:t>
      </w:r>
    </w:p>
    <w:p>
      <w:r>
        <w:pict>
          <v:rect style="width:0;height:1.5pt" o:hralign="center" o:hrstd="t" o:hr="t"/>
        </w:pict>
      </w:r>
    </w:p>
    <w:bookmarkEnd w:id="72"/>
    <w:bookmarkEnd w:id="73"/>
    <w:bookmarkStart w:id="76" w:name="X6705326e6e770e39d40c60c3fc7010b10b41d06"/>
    <w:p>
      <w:pPr>
        <w:pStyle w:val="2"/>
      </w:pPr>
      <w:r>
        <w:t xml:space="preserve">4. Cholesterol and Fats: A Comprehensive Reassessment</w:t>
      </w:r>
    </w:p>
    <w:bookmarkStart w:id="74" w:name="a.-the-egg-renaissance"/>
    <w:p>
      <w:pPr>
        <w:pStyle w:val="3"/>
      </w:pPr>
      <w:r>
        <w:t xml:space="preserve">A.</w:t>
      </w:r>
      <w:r>
        <w:t xml:space="preserve"> </w:t>
      </w:r>
      <w:r>
        <w:t xml:space="preserve">“</w:t>
      </w:r>
      <w:r>
        <w:t xml:space="preserve">The Egg Renaissance</w:t>
      </w:r>
      <w:r>
        <w:t xml:space="preserve">”</w:t>
      </w:r>
    </w:p>
    <w:p>
      <w:pPr>
        <w:pStyle w:val="FirstParagraph"/>
      </w:pPr>
      <w:r>
        <w:t xml:space="preserve">Despite decades of warnings about dietary cholesterol, massive recent meta-analyses confirm:</w:t>
      </w:r>
      <w:r>
        <w:t xml:space="preserve"> </w:t>
      </w:r>
      <w:r>
        <w:t xml:space="preserve">-</w:t>
      </w:r>
      <w:r>
        <w:t xml:space="preserve"> </w:t>
      </w:r>
      <w:r>
        <w:rPr>
          <w:b/>
          <w:bCs/>
        </w:rPr>
        <w:t xml:space="preserve">Moderate egg consumption (up to one per day)</w:t>
      </w:r>
      <w:r>
        <w:t xml:space="preserve"> </w:t>
      </w:r>
      <w:r>
        <w:t xml:space="preserve">does not increase overall cardiovascular disease risk.</w:t>
      </w:r>
      <w:r>
        <w:t xml:space="preserve"> </w:t>
      </w:r>
      <w:r>
        <w:t xml:space="preserve">- In some global populations, it is actually associated with a</w:t>
      </w:r>
      <w:r>
        <w:t xml:space="preserve"> </w:t>
      </w:r>
      <w:r>
        <w:rPr>
          <w:b/>
          <w:bCs/>
        </w:rPr>
        <w:t xml:space="preserve">slightly lower risk of stroke and heart disease</w:t>
      </w:r>
      <w:r>
        <w:t xml:space="preserve">.</w:t>
      </w:r>
    </w:p>
    <w:bookmarkEnd w:id="74"/>
    <w:bookmarkStart w:id="75" w:name="b.-the-pure-study-and-global-context"/>
    <w:p>
      <w:pPr>
        <w:pStyle w:val="3"/>
      </w:pPr>
      <w:r>
        <w:t xml:space="preserve">B. The PURE Study and Global Context</w:t>
      </w:r>
    </w:p>
    <w:p>
      <w:pPr>
        <w:pStyle w:val="FirstParagraph"/>
      </w:pPr>
      <w:r>
        <w:t xml:space="preserve">The large PURE study (135,335 people in 18 countries) challenged traditional wisdom:</w:t>
      </w:r>
      <w:r>
        <w:t xml:space="preserve"> </w:t>
      </w:r>
      <w:r>
        <w:t xml:space="preserve">-</w:t>
      </w:r>
      <w:r>
        <w:t xml:space="preserve"> </w:t>
      </w:r>
      <w:r>
        <w:rPr>
          <w:b/>
          <w:bCs/>
        </w:rPr>
        <w:t xml:space="preserve">Total fat:</w:t>
      </w:r>
      <w:r>
        <w:t xml:space="preserve"> </w:t>
      </w:r>
      <w:r>
        <w:t xml:space="preserve">Not associated with increased risk of all-cause mortality or heart disease.</w:t>
      </w:r>
      <w:r>
        <w:t xml:space="preserve"> </w:t>
      </w:r>
      <w:r>
        <w:t xml:space="preserve">-</w:t>
      </w:r>
      <w:r>
        <w:t xml:space="preserve"> </w:t>
      </w:r>
      <w:r>
        <w:rPr>
          <w:b/>
          <w:bCs/>
        </w:rPr>
        <w:t xml:space="preserve">Saturated fat:</w:t>
      </w:r>
      <w:r>
        <w:t xml:space="preserve"> </w:t>
      </w:r>
      <w:r>
        <w:t xml:space="preserve">Not independently associated with coronary heart disease.</w:t>
      </w:r>
      <w:r>
        <w:t xml:space="preserve"> </w:t>
      </w:r>
      <w:r>
        <w:t xml:space="preserve">-</w:t>
      </w:r>
      <w:r>
        <w:t xml:space="preserve"> </w:t>
      </w:r>
      <w:r>
        <w:rPr>
          <w:b/>
          <w:bCs/>
        </w:rPr>
        <w:t xml:space="preserve">Refined carbohydrates:</w:t>
      </w:r>
      <w:r>
        <w:t xml:space="preserve"> </w:t>
      </w:r>
      <w:r>
        <w:t xml:space="preserve">High intake (&gt;60% of energy) was associated with increased all-cause mortality risk.</w:t>
      </w:r>
      <w:r>
        <w:t xml:space="preserve"> </w:t>
      </w:r>
      <w:r>
        <w:t xml:space="preserve">-</w:t>
      </w:r>
      <w:r>
        <w:t xml:space="preserve"> </w:t>
      </w:r>
      <w:r>
        <w:rPr>
          <w:b/>
          <w:bCs/>
        </w:rPr>
        <w:t xml:space="preserve">Conclusion:</w:t>
      </w:r>
      <w:r>
        <w:t xml:space="preserve"> </w:t>
      </w:r>
      <w:r>
        <w:t xml:space="preserve">Replacing saturated fats with refined carbohydrates (sugar, white flour) is</w:t>
      </w:r>
      <w:r>
        <w:t xml:space="preserve"> </w:t>
      </w:r>
      <w:r>
        <w:rPr>
          <w:b/>
          <w:bCs/>
        </w:rPr>
        <w:t xml:space="preserve">much worse</w:t>
      </w:r>
      <w:r>
        <w:t xml:space="preserve"> </w:t>
      </w:r>
      <w:r>
        <w:t xml:space="preserve">than replacing them with unsaturated fats or even leaving them as is.</w:t>
      </w:r>
    </w:p>
    <w:p>
      <w:pPr>
        <w:pStyle w:val="aa"/>
      </w:pPr>
      <w:r>
        <w:rPr>
          <w:b/>
          <w:bCs/>
        </w:rPr>
        <w:t xml:space="preserve">Integrated message:</w:t>
      </w:r>
      <w:r>
        <w:t xml:space="preserve"> </w:t>
      </w:r>
      <w:r>
        <w:t xml:space="preserve">The type of carbohydrates (whole vs. refined) and type of fats (unsaturated vs. saturated) matter more than the percentage of calories or dietary cholesterol alone.</w:t>
      </w:r>
    </w:p>
    <w:p>
      <w:r>
        <w:pict>
          <v:rect style="width:0;height:1.5pt" o:hralign="center" o:hrstd="t" o:hr="t"/>
        </w:pict>
      </w:r>
    </w:p>
    <w:bookmarkEnd w:id="75"/>
    <w:bookmarkEnd w:id="76"/>
    <w:bookmarkStart w:id="79" w:name="individual-variation-and-the-microbiome"/>
    <w:p>
      <w:pPr>
        <w:pStyle w:val="2"/>
      </w:pPr>
      <w:r>
        <w:t xml:space="preserve">5. Individual Variation and the Microbiome</w:t>
      </w:r>
    </w:p>
    <w:bookmarkStart w:id="77" w:name="a.-the-gut-brain-axis-and-mental-health"/>
    <w:p>
      <w:pPr>
        <w:pStyle w:val="3"/>
      </w:pPr>
      <w:r>
        <w:t xml:space="preserve">A. The Gut-Brain Axis and Mental Health</w:t>
      </w:r>
    </w:p>
    <w:p>
      <w:pPr>
        <w:pStyle w:val="Compact"/>
        <w:numPr>
          <w:ilvl w:val="0"/>
          <w:numId w:val="1012"/>
        </w:numPr>
      </w:pPr>
      <w:r>
        <w:rPr>
          <w:b/>
          <w:bCs/>
        </w:rPr>
        <w:t xml:space="preserve">95% of serotonin</w:t>
      </w:r>
      <w:r>
        <w:t xml:space="preserve"> </w:t>
      </w:r>
      <w:r>
        <w:t xml:space="preserve">is produced in the gut, not the brain.</w:t>
      </w:r>
    </w:p>
    <w:p>
      <w:pPr>
        <w:pStyle w:val="Compact"/>
        <w:numPr>
          <w:ilvl w:val="0"/>
          <w:numId w:val="1012"/>
        </w:numPr>
      </w:pPr>
      <w:r>
        <w:t xml:space="preserve">The gut contains</w:t>
      </w:r>
      <w:r>
        <w:t xml:space="preserve"> </w:t>
      </w:r>
      <w:r>
        <w:rPr>
          <w:b/>
          <w:bCs/>
        </w:rPr>
        <w:t xml:space="preserve">500 million neurons</w:t>
      </w:r>
      <w:r>
        <w:t xml:space="preserve"> </w:t>
      </w:r>
      <w:r>
        <w:t xml:space="preserve">connected to the brain via the vagus nerve.</w:t>
      </w:r>
    </w:p>
    <w:p>
      <w:pPr>
        <w:pStyle w:val="Compact"/>
        <w:numPr>
          <w:ilvl w:val="0"/>
          <w:numId w:val="1012"/>
        </w:numPr>
      </w:pPr>
      <w:r>
        <w:t xml:space="preserve">Gut bacteria produce neurotransmitters (GABA, dopamine) and short-chain fatty acids (butyrate).</w:t>
      </w:r>
    </w:p>
    <w:p>
      <w:pPr>
        <w:pStyle w:val="Compact"/>
        <w:numPr>
          <w:ilvl w:val="0"/>
          <w:numId w:val="1012"/>
        </w:numPr>
      </w:pPr>
      <w:r>
        <w:rPr>
          <w:b/>
          <w:bCs/>
        </w:rPr>
        <w:t xml:space="preserve">SMILES trial (2017):</w:t>
      </w:r>
      <w:r>
        <w:t xml:space="preserve"> </w:t>
      </w:r>
      <w:r>
        <w:t xml:space="preserve">A modified Mediterranean diet led to remission of depression in</w:t>
      </w:r>
      <w:r>
        <w:t xml:space="preserve"> </w:t>
      </w:r>
      <w:r>
        <w:rPr>
          <w:b/>
          <w:bCs/>
        </w:rPr>
        <w:t xml:space="preserve">32%</w:t>
      </w:r>
      <w:r>
        <w:t xml:space="preserve"> </w:t>
      </w:r>
      <w:r>
        <w:t xml:space="preserve">of participants versus</w:t>
      </w:r>
      <w:r>
        <w:t xml:space="preserve"> </w:t>
      </w:r>
      <w:r>
        <w:rPr>
          <w:b/>
          <w:bCs/>
        </w:rPr>
        <w:t xml:space="preserve">8%</w:t>
      </w:r>
      <w:r>
        <w:t xml:space="preserve"> </w:t>
      </w:r>
      <w:r>
        <w:t xml:space="preserve">in the social support group.</w:t>
      </w:r>
    </w:p>
    <w:bookmarkEnd w:id="77"/>
    <w:bookmarkStart w:id="78" w:name="X4158366983ddc4820fd7ad043ff84eb028aeba9"/>
    <w:p>
      <w:pPr>
        <w:pStyle w:val="3"/>
      </w:pPr>
      <w:r>
        <w:t xml:space="preserve">B. Genetic and Microbiomic Variation in Egg/Poultry Response</w:t>
      </w:r>
    </w:p>
    <w:tbl>
      <w:tblPr>
        <w:tblStyle w:val="Table"/>
        <w:tblW w:type="pct" w:w="5000"/>
        <w:jc w:val="left"/>
        <w:tblLayout w:type="fixed"/>
        <w:tblLook w:firstRow="1" w:lastRow="0" w:firstColumn="0" w:lastColumn="0" w:noHBand="0" w:noVBand="0" w:val="0020"/>
      </w:tblPr>
      <w:tblGrid>
        <w:gridCol w:w="2346"/>
        <w:gridCol w:w="5573"/>
      </w:tblGrid>
      <w:tr>
        <w:trPr>
          <w:tblHeader w:val="on"/>
        </w:trPr>
        <w:tc>
          <w:tcPr/>
          <w:p>
            <w:pPr>
              <w:pStyle w:val="Compact"/>
              <w:jc w:val="left"/>
            </w:pPr>
            <w:r>
              <w:t xml:space="preserve">Factor</w:t>
            </w:r>
          </w:p>
        </w:tc>
        <w:tc>
          <w:tcPr/>
          <w:p>
            <w:pPr>
              <w:pStyle w:val="Compact"/>
              <w:jc w:val="left"/>
            </w:pPr>
            <w:r>
              <w:t xml:space="preserve">Impact on Response</w:t>
            </w:r>
          </w:p>
        </w:tc>
      </w:tr>
      <w:tr>
        <w:tc>
          <w:tcPr/>
          <w:p>
            <w:pPr>
              <w:pStyle w:val="Compact"/>
              <w:jc w:val="left"/>
            </w:pPr>
            <w:r>
              <w:rPr>
                <w:b/>
                <w:bCs/>
              </w:rPr>
              <w:t xml:space="preserve">HLA genes</w:t>
            </w:r>
          </w:p>
        </w:tc>
        <w:tc>
          <w:tcPr/>
          <w:p>
            <w:pPr>
              <w:pStyle w:val="Compact"/>
              <w:jc w:val="left"/>
            </w:pPr>
            <w:r>
              <w:t xml:space="preserve">Determine how egg peptides are presented to T-cells</w:t>
            </w:r>
          </w:p>
        </w:tc>
      </w:tr>
      <w:tr>
        <w:tc>
          <w:tcPr/>
          <w:p>
            <w:pPr>
              <w:pStyle w:val="Compact"/>
              <w:jc w:val="left"/>
            </w:pPr>
            <w:r>
              <w:rPr>
                <w:b/>
                <w:bCs/>
              </w:rPr>
              <w:t xml:space="preserve">Barrier genes (FLG, SPINK5)</w:t>
            </w:r>
          </w:p>
        </w:tc>
        <w:tc>
          <w:tcPr/>
          <w:p>
            <w:pPr>
              <w:pStyle w:val="Compact"/>
              <w:jc w:val="left"/>
            </w:pPr>
            <w:r>
              <w:t xml:space="preserve">Weakened barrier increases antigen permeability and sensitization</w:t>
            </w:r>
          </w:p>
        </w:tc>
      </w:tr>
      <w:tr>
        <w:tc>
          <w:tcPr/>
          <w:p>
            <w:pPr>
              <w:pStyle w:val="Compact"/>
              <w:jc w:val="left"/>
            </w:pPr>
            <w:r>
              <w:rPr>
                <w:b/>
                <w:bCs/>
              </w:rPr>
              <w:t xml:space="preserve">TMAO-producing microbiome</w:t>
            </w:r>
          </w:p>
        </w:tc>
        <w:tc>
          <w:tcPr/>
          <w:p>
            <w:pPr>
              <w:pStyle w:val="Compact"/>
              <w:jc w:val="left"/>
            </w:pPr>
            <w:r>
              <w:t xml:space="preserve">Certain bacteria convert choline/carnitine (abundant in eggs) to TMAO, linked to heart disease</w:t>
            </w:r>
          </w:p>
        </w:tc>
      </w:tr>
      <w:tr>
        <w:tc>
          <w:tcPr/>
          <w:p>
            <w:pPr>
              <w:pStyle w:val="Compact"/>
              <w:jc w:val="left"/>
            </w:pPr>
            <w:r>
              <w:rPr>
                <w:b/>
                <w:bCs/>
              </w:rPr>
              <w:t xml:space="preserve">Gastric acidity</w:t>
            </w:r>
          </w:p>
        </w:tc>
        <w:tc>
          <w:tcPr/>
          <w:p>
            <w:pPr>
              <w:pStyle w:val="Compact"/>
              <w:jc w:val="left"/>
            </w:pPr>
            <w:r>
              <w:t xml:space="preserve">Reduced acidity decreases initial protein digestion and increases large protein passage to intestines</w:t>
            </w:r>
          </w:p>
        </w:tc>
      </w:tr>
      <w:tr>
        <w:tc>
          <w:tcPr/>
          <w:p>
            <w:pPr>
              <w:pStyle w:val="Compact"/>
              <w:jc w:val="left"/>
            </w:pPr>
            <w:r>
              <w:rPr>
                <w:b/>
                <w:bCs/>
              </w:rPr>
              <w:t xml:space="preserve">Timing of consumption</w:t>
            </w:r>
          </w:p>
        </w:tc>
        <w:tc>
          <w:tcPr/>
          <w:p>
            <w:pPr>
              <w:pStyle w:val="Compact"/>
              <w:jc w:val="left"/>
            </w:pPr>
            <w:r>
              <w:t xml:space="preserve">Eating eggs within a mixed meal (with carbohydrates, fats, fiber) improves amino acid absorption</w:t>
            </w:r>
          </w:p>
        </w:tc>
      </w:tr>
    </w:tbl>
    <w:p>
      <w:r>
        <w:pict>
          <v:rect style="width:0;height:1.5pt" o:hralign="center" o:hrstd="t" o:hr="t"/>
        </w:pict>
      </w:r>
    </w:p>
    <w:bookmarkEnd w:id="78"/>
    <w:bookmarkEnd w:id="79"/>
    <w:bookmarkStart w:id="80" w:name="context-based-practical-recommendations"/>
    <w:p>
      <w:pPr>
        <w:pStyle w:val="2"/>
      </w:pPr>
      <w:r>
        <w:t xml:space="preserve">6. Context-Based Practical Recommendations</w:t>
      </w:r>
    </w:p>
    <w:tbl>
      <w:tblPr>
        <w:tblStyle w:val="Table"/>
        <w:tblW w:type="pct" w:w="5000"/>
        <w:jc w:val="left"/>
        <w:tblLayout w:type="fixed"/>
        <w:tblLook w:firstRow="1" w:lastRow="0" w:firstColumn="0" w:lastColumn="0" w:noHBand="0" w:noVBand="0" w:val="0020"/>
      </w:tblPr>
      <w:tblGrid>
        <w:gridCol w:w="1980"/>
        <w:gridCol w:w="3144"/>
        <w:gridCol w:w="2795"/>
      </w:tblGrid>
      <w:tr>
        <w:trPr>
          <w:tblHeader w:val="on"/>
        </w:trPr>
        <w:tc>
          <w:tcPr/>
          <w:p>
            <w:pPr>
              <w:pStyle w:val="Compact"/>
              <w:jc w:val="left"/>
            </w:pPr>
            <w:r>
              <w:t xml:space="preserve">Population Group</w:t>
            </w:r>
          </w:p>
        </w:tc>
        <w:tc>
          <w:tcPr/>
          <w:p>
            <w:pPr>
              <w:pStyle w:val="Compact"/>
              <w:jc w:val="left"/>
            </w:pPr>
            <w:r>
              <w:t xml:space="preserve">Nutritional Recommendation</w:t>
            </w:r>
          </w:p>
        </w:tc>
        <w:tc>
          <w:tcPr/>
          <w:p>
            <w:pPr>
              <w:pStyle w:val="Compact"/>
              <w:jc w:val="left"/>
            </w:pPr>
            <w:r>
              <w:t xml:space="preserve">Scientific Justification</w:t>
            </w:r>
          </w:p>
        </w:tc>
      </w:tr>
      <w:tr>
        <w:tc>
          <w:tcPr/>
          <w:p>
            <w:pPr>
              <w:pStyle w:val="Compact"/>
              <w:jc w:val="left"/>
            </w:pPr>
            <w:r>
              <w:rPr>
                <w:b/>
                <w:bCs/>
              </w:rPr>
              <w:t xml:space="preserve">Healthy children</w:t>
            </w:r>
          </w:p>
        </w:tc>
        <w:tc>
          <w:tcPr/>
          <w:p>
            <w:pPr>
              <w:pStyle w:val="Compact"/>
              <w:jc w:val="left"/>
            </w:pPr>
            <w:r>
              <w:t xml:space="preserve">Well-cooked eggs from 6 months onward</w:t>
            </w:r>
          </w:p>
        </w:tc>
        <w:tc>
          <w:tcPr/>
          <w:p>
            <w:pPr>
              <w:pStyle w:val="Compact"/>
              <w:jc w:val="left"/>
            </w:pPr>
            <w:r>
              <w:t xml:space="preserve">Reduce allergy risk, ensure optimal digestion, prevent microbial infection</w:t>
            </w:r>
          </w:p>
        </w:tc>
      </w:tr>
      <w:tr>
        <w:tc>
          <w:tcPr/>
          <w:p>
            <w:pPr>
              <w:pStyle w:val="Compact"/>
              <w:jc w:val="left"/>
            </w:pPr>
            <w:r>
              <w:rPr>
                <w:b/>
                <w:bCs/>
              </w:rPr>
              <w:t xml:space="preserve">Confirmed egg allergy (IgE-mediated)</w:t>
            </w:r>
          </w:p>
        </w:tc>
        <w:tc>
          <w:tcPr/>
          <w:p>
            <w:pPr>
              <w:pStyle w:val="Compact"/>
              <w:jc w:val="left"/>
            </w:pPr>
            <w:r>
              <w:t xml:space="preserve">Complete avoidance of eggs and derivatives</w:t>
            </w:r>
          </w:p>
        </w:tc>
        <w:tc>
          <w:tcPr/>
          <w:p>
            <w:pPr>
              <w:pStyle w:val="Compact"/>
              <w:jc w:val="left"/>
            </w:pPr>
            <w:r>
              <w:t xml:space="preserve">Prevent life-threatening anaphylactic reactions</w:t>
            </w:r>
          </w:p>
        </w:tc>
      </w:tr>
      <w:tr>
        <w:tc>
          <w:tcPr/>
          <w:p>
            <w:pPr>
              <w:pStyle w:val="Compact"/>
              <w:jc w:val="left"/>
            </w:pPr>
            <w:r>
              <w:rPr>
                <w:b/>
                <w:bCs/>
              </w:rPr>
              <w:t xml:space="preserve">Those tolerating baked but not raw eggs</w:t>
            </w:r>
          </w:p>
        </w:tc>
        <w:tc>
          <w:tcPr/>
          <w:p>
            <w:pPr>
              <w:pStyle w:val="Compact"/>
              <w:jc w:val="left"/>
            </w:pPr>
            <w:r>
              <w:t xml:space="preserve">Use high-heat/long-duration baking protocols</w:t>
            </w:r>
          </w:p>
        </w:tc>
        <w:tc>
          <w:tcPr/>
          <w:p>
            <w:pPr>
              <w:pStyle w:val="Compact"/>
              <w:jc w:val="left"/>
            </w:pPr>
            <w:r>
              <w:t xml:space="preserve">Exploit ovalbumin’s thermal instability while avoiding heat-stable ovomucoid</w:t>
            </w:r>
          </w:p>
        </w:tc>
      </w:tr>
      <w:tr>
        <w:tc>
          <w:tcPr/>
          <w:p>
            <w:pPr>
              <w:pStyle w:val="Compact"/>
              <w:jc w:val="left"/>
            </w:pPr>
            <w:r>
              <w:rPr>
                <w:b/>
                <w:bCs/>
              </w:rPr>
              <w:t xml:space="preserve">Elderly or those with weak digestion</w:t>
            </w:r>
          </w:p>
        </w:tc>
        <w:tc>
          <w:tcPr/>
          <w:p>
            <w:pPr>
              <w:pStyle w:val="Compact"/>
              <w:jc w:val="left"/>
            </w:pPr>
            <w:r>
              <w:t xml:space="preserve">Well-cooked eggs paired with fiber-rich foods</w:t>
            </w:r>
          </w:p>
        </w:tc>
        <w:tc>
          <w:tcPr/>
          <w:p>
            <w:pPr>
              <w:pStyle w:val="Compact"/>
              <w:jc w:val="left"/>
            </w:pPr>
            <w:r>
              <w:t xml:space="preserve">Improve digestion, support microbiome health</w:t>
            </w:r>
          </w:p>
        </w:tc>
      </w:tr>
      <w:tr>
        <w:tc>
          <w:tcPr/>
          <w:p>
            <w:pPr>
              <w:pStyle w:val="Compact"/>
              <w:jc w:val="left"/>
            </w:pPr>
            <w:r>
              <w:rPr>
                <w:b/>
                <w:bCs/>
              </w:rPr>
              <w:t xml:space="preserve">Athletes</w:t>
            </w:r>
          </w:p>
        </w:tc>
        <w:tc>
          <w:tcPr/>
          <w:p>
            <w:pPr>
              <w:pStyle w:val="Compact"/>
              <w:jc w:val="left"/>
            </w:pPr>
            <w:r>
              <w:t xml:space="preserve">20–30g cooked egg protein post-workout</w:t>
            </w:r>
          </w:p>
        </w:tc>
        <w:tc>
          <w:tcPr/>
          <w:p>
            <w:pPr>
              <w:pStyle w:val="Compact"/>
              <w:jc w:val="left"/>
            </w:pPr>
            <w:r>
              <w:t xml:space="preserve">Optimal muscle protein synthesis stimulation, high amino acid bioavailability</w:t>
            </w:r>
          </w:p>
        </w:tc>
      </w:tr>
      <w:tr>
        <w:tc>
          <w:tcPr/>
          <w:p>
            <w:pPr>
              <w:pStyle w:val="Compact"/>
              <w:jc w:val="left"/>
            </w:pPr>
            <w:r>
              <w:rPr>
                <w:b/>
                <w:bCs/>
              </w:rPr>
              <w:t xml:space="preserve">Individuals at cardiovascular risk</w:t>
            </w:r>
          </w:p>
        </w:tc>
        <w:tc>
          <w:tcPr/>
          <w:p>
            <w:pPr>
              <w:pStyle w:val="Compact"/>
              <w:jc w:val="left"/>
            </w:pPr>
            <w:r>
              <w:t xml:space="preserve">Moderate consumption, monitor total saturated fat intake</w:t>
            </w:r>
          </w:p>
        </w:tc>
        <w:tc>
          <w:tcPr/>
          <w:p>
            <w:pPr>
              <w:pStyle w:val="Compact"/>
              <w:jc w:val="left"/>
            </w:pPr>
            <w:r>
              <w:t xml:space="preserve">Focus on overall dietary pattern while benefiting from egg micronutrients</w:t>
            </w:r>
          </w:p>
        </w:tc>
      </w:tr>
      <w:tr>
        <w:tc>
          <w:tcPr/>
          <w:p>
            <w:pPr>
              <w:pStyle w:val="Compact"/>
              <w:jc w:val="left"/>
            </w:pPr>
            <w:r>
              <w:rPr>
                <w:b/>
                <w:bCs/>
              </w:rPr>
              <w:t xml:space="preserve">Goal: Eye protection</w:t>
            </w:r>
          </w:p>
        </w:tc>
        <w:tc>
          <w:tcPr/>
          <w:p>
            <w:pPr>
              <w:pStyle w:val="Compact"/>
              <w:jc w:val="left"/>
            </w:pPr>
            <w:r>
              <w:t xml:space="preserve">Boiled eggs rather than fried/scrambled</w:t>
            </w:r>
          </w:p>
        </w:tc>
        <w:tc>
          <w:tcPr/>
          <w:p>
            <w:pPr>
              <w:pStyle w:val="Compact"/>
              <w:jc w:val="left"/>
            </w:pPr>
            <w:r>
              <w:t xml:space="preserve">Preserve lutein and zeaxanthin availability</w:t>
            </w:r>
          </w:p>
        </w:tc>
      </w:tr>
    </w:tbl>
    <w:p>
      <w:r>
        <w:pict>
          <v:rect style="width:0;height:1.5pt" o:hralign="center" o:hrstd="t" o:hr="t"/>
        </w:pict>
      </w:r>
    </w:p>
    <w:bookmarkEnd w:id="80"/>
    <w:bookmarkEnd w:id="81"/>
    <w:bookmarkStart w:id="87" w:name="X9d821bdfe7718ea75020e80d716af37ef3fdd20"/>
    <w:p>
      <w:pPr>
        <w:pStyle w:val="1"/>
      </w:pPr>
      <w:r>
        <w:t xml:space="preserve">Part Two: The Therapeutic Nutrition Revolution — Correcting Common Misconceptions</w:t>
      </w:r>
    </w:p>
    <w:bookmarkStart w:id="82" w:name="Xc9b801a255a82361fb689bb6ec63d6df00e28d7"/>
    <w:p>
      <w:pPr>
        <w:pStyle w:val="2"/>
      </w:pPr>
      <w:r>
        <w:t xml:space="preserve">1. Nutritional Psychiatry: Food as Brain Medicine</w:t>
      </w:r>
    </w:p>
    <w:p>
      <w:pPr>
        <w:pStyle w:val="FirstParagraph"/>
      </w:pPr>
      <w:r>
        <w:rPr>
          <w:b/>
          <w:bCs/>
        </w:rPr>
        <w:t xml:space="preserve">Misconception:</w:t>
      </w:r>
      <w:r>
        <w:t xml:space="preserve"> </w:t>
      </w:r>
      <w:r>
        <w:t xml:space="preserve">Mental health is purely psychological/neurological, and food only affects the body.</w:t>
      </w:r>
      <w:r>
        <w:t xml:space="preserve"> </w:t>
      </w:r>
      <w:r>
        <w:rPr>
          <w:b/>
          <w:bCs/>
        </w:rPr>
        <w:t xml:space="preserve">Reality:</w:t>
      </w:r>
      <w:r>
        <w:t xml:space="preserve"> </w:t>
      </w:r>
      <w:r>
        <w:t xml:space="preserve">What you eat directly affects brain composition via the</w:t>
      </w:r>
      <w:r>
        <w:t xml:space="preserve"> </w:t>
      </w:r>
      <w:r>
        <w:rPr>
          <w:b/>
          <w:bCs/>
        </w:rPr>
        <w:t xml:space="preserve">gut-brain axis</w:t>
      </w:r>
      <w:r>
        <w:t xml:space="preserve">. Whole, fermented, omega-3-rich, fiber-rich diets feed beneficial bacteria and reduce neuroinflammation.</w:t>
      </w:r>
    </w:p>
    <w:bookmarkEnd w:id="82"/>
    <w:bookmarkStart w:id="83" w:name="X7f46dd2aa55ae2189e81289b97b296f0fa00d85"/>
    <w:p>
      <w:pPr>
        <w:pStyle w:val="2"/>
      </w:pPr>
      <w:r>
        <w:t xml:space="preserve">2. Time-Restricted Eating: Not Weight-Loss Magic</w:t>
      </w:r>
    </w:p>
    <w:p>
      <w:pPr>
        <w:pStyle w:val="FirstParagraph"/>
      </w:pPr>
      <w:r>
        <w:rPr>
          <w:b/>
          <w:bCs/>
        </w:rPr>
        <w:t xml:space="preserve">Misconception:</w:t>
      </w:r>
      <w:r>
        <w:t xml:space="preserve"> </w:t>
      </w:r>
      <w:r>
        <w:t xml:space="preserve">Intermittent fasting (16:8) magically burns fat and outperforms calorie restriction.</w:t>
      </w:r>
      <w:r>
        <w:t xml:space="preserve"> </w:t>
      </w:r>
      <w:r>
        <w:rPr>
          <w:b/>
          <w:bCs/>
        </w:rPr>
        <w:t xml:space="preserve">Reality:</w:t>
      </w:r>
      <w:r>
        <w:t xml:space="preserve"> </w:t>
      </w:r>
      <w:r>
        <w:t xml:space="preserve">The 2022 NEJM trial showed it</w:t>
      </w:r>
      <w:r>
        <w:t xml:space="preserve"> </w:t>
      </w:r>
      <w:r>
        <w:rPr>
          <w:b/>
          <w:bCs/>
        </w:rPr>
        <w:t xml:space="preserve">does not outperform daily calorie restriction</w:t>
      </w:r>
      <w:r>
        <w:t xml:space="preserve"> </w:t>
      </w:r>
      <w:r>
        <w:t xml:space="preserve">for weight loss or metabolic improvement when calories are equal. The main benefit is</w:t>
      </w:r>
      <w:r>
        <w:t xml:space="preserve"> </w:t>
      </w:r>
      <w:r>
        <w:rPr>
          <w:b/>
          <w:bCs/>
        </w:rPr>
        <w:t xml:space="preserve">adherence ease</w:t>
      </w:r>
      <w:r>
        <w:t xml:space="preserve"> </w:t>
      </w:r>
      <w:r>
        <w:t xml:space="preserve">for some individuals.</w:t>
      </w:r>
    </w:p>
    <w:bookmarkEnd w:id="83"/>
    <w:bookmarkStart w:id="84" w:name="the-seed-oils-are-toxic-myth"/>
    <w:p>
      <w:pPr>
        <w:pStyle w:val="2"/>
      </w:pPr>
      <w:r>
        <w:t xml:space="preserve">3. The</w:t>
      </w:r>
      <w:r>
        <w:t xml:space="preserve"> </w:t>
      </w:r>
      <w:r>
        <w:t xml:space="preserve">“</w:t>
      </w:r>
      <w:r>
        <w:t xml:space="preserve">Seed Oils Are Toxic</w:t>
      </w:r>
      <w:r>
        <w:t xml:space="preserve">”</w:t>
      </w:r>
      <w:r>
        <w:t xml:space="preserve"> </w:t>
      </w:r>
      <w:r>
        <w:t xml:space="preserve">Myth</w:t>
      </w:r>
    </w:p>
    <w:p>
      <w:pPr>
        <w:pStyle w:val="FirstParagraph"/>
      </w:pPr>
      <w:r>
        <w:rPr>
          <w:b/>
          <w:bCs/>
        </w:rPr>
        <w:t xml:space="preserve">Misconception:</w:t>
      </w:r>
      <w:r>
        <w:t xml:space="preserve"> </w:t>
      </w:r>
      <w:r>
        <w:t xml:space="preserve">Seed oils (soy, corn, sunflower) are high in omega-6 and cause inflammation.</w:t>
      </w:r>
      <w:r>
        <w:t xml:space="preserve"> </w:t>
      </w:r>
      <w:r>
        <w:rPr>
          <w:b/>
          <w:bCs/>
        </w:rPr>
        <w:t xml:space="preserve">Reality:</w:t>
      </w:r>
      <w:r>
        <w:t xml:space="preserve"> </w:t>
      </w:r>
      <w:r>
        <w:t xml:space="preserve">Recent systematic reviews (2024) exonerate them: replacing saturated fats with polyunsaturated fats</w:t>
      </w:r>
      <w:r>
        <w:t xml:space="preserve"> </w:t>
      </w:r>
      <w:r>
        <w:rPr>
          <w:b/>
          <w:bCs/>
        </w:rPr>
        <w:t xml:space="preserve">reduces cardiovascular events</w:t>
      </w:r>
      <w:r>
        <w:t xml:space="preserve">. The focus should be on</w:t>
      </w:r>
      <w:r>
        <w:t xml:space="preserve"> </w:t>
      </w:r>
      <w:r>
        <w:rPr>
          <w:b/>
          <w:bCs/>
        </w:rPr>
        <w:t xml:space="preserve">increasing omega-3</w:t>
      </w:r>
      <w:r>
        <w:t xml:space="preserve">, not necessarily reducing omega-6.</w:t>
      </w:r>
    </w:p>
    <w:bookmarkEnd w:id="84"/>
    <w:bookmarkStart w:id="85" w:name="X525c9ece89baeef79235ed9b293fa4691b98666"/>
    <w:p>
      <w:pPr>
        <w:pStyle w:val="2"/>
      </w:pPr>
      <w:r>
        <w:t xml:space="preserve">4. NAD+ Precursors: Promising Anti-Aging Tools</w:t>
      </w:r>
    </w:p>
    <w:p>
      <w:pPr>
        <w:pStyle w:val="FirstParagraph"/>
      </w:pPr>
      <w:r>
        <w:rPr>
          <w:b/>
          <w:bCs/>
        </w:rPr>
        <w:t xml:space="preserve">NR (Nicotinamide Riboside) and NMN supplements</w:t>
      </w:r>
      <w:r>
        <w:t xml:space="preserve"> </w:t>
      </w:r>
      <w:r>
        <w:t xml:space="preserve">raise NAD+ levels (the essential enzyme for energy and DNA repair). Human trials show:</w:t>
      </w:r>
      <w:r>
        <w:t xml:space="preserve"> </w:t>
      </w:r>
      <w:r>
        <w:t xml:space="preserve">- Improved cognitive function in elderly.</w:t>
      </w:r>
      <w:r>
        <w:t xml:space="preserve"> </w:t>
      </w:r>
      <w:r>
        <w:t xml:space="preserve">- Improved insulin sensitivity and liver/muscle function.</w:t>
      </w:r>
      <w:r>
        <w:t xml:space="preserve"> </w:t>
      </w:r>
      <w:r>
        <w:t xml:space="preserve">- ⚠️ Research is still early; no definitive evidence for lifespan extension.</w:t>
      </w:r>
    </w:p>
    <w:bookmarkEnd w:id="85"/>
    <w:bookmarkStart w:id="86" w:name="strange-and-useful-nutritional-facts"/>
    <w:p>
      <w:pPr>
        <w:pStyle w:val="2"/>
      </w:pPr>
      <w:r>
        <w:t xml:space="preserve">5. Strange and Useful Nutritional Facts</w:t>
      </w:r>
    </w:p>
    <w:tbl>
      <w:tblPr>
        <w:tblStyle w:val="Table"/>
        <w:tblW w:type="pct" w:w="5000"/>
        <w:jc w:val="left"/>
        <w:tblLayout w:type="fixed"/>
        <w:tblLook w:firstRow="1" w:lastRow="0" w:firstColumn="0" w:lastColumn="0" w:noHBand="0" w:noVBand="0" w:val="0020"/>
      </w:tblPr>
      <w:tblGrid>
        <w:gridCol w:w="1900"/>
        <w:gridCol w:w="6019"/>
      </w:tblGrid>
      <w:tr>
        <w:trPr>
          <w:tblHeader w:val="on"/>
        </w:trPr>
        <w:tc>
          <w:tcPr/>
          <w:p>
            <w:pPr>
              <w:pStyle w:val="Compact"/>
              <w:jc w:val="left"/>
            </w:pPr>
            <w:r>
              <w:t xml:space="preserve">Fact</w:t>
            </w:r>
          </w:p>
        </w:tc>
        <w:tc>
          <w:tcPr/>
          <w:p>
            <w:pPr>
              <w:pStyle w:val="Compact"/>
              <w:jc w:val="left"/>
            </w:pPr>
            <w:r>
              <w:t xml:space="preserve">Mechanism/Evidence</w:t>
            </w:r>
          </w:p>
        </w:tc>
      </w:tr>
      <w:tr>
        <w:tc>
          <w:tcPr/>
          <w:p>
            <w:pPr>
              <w:pStyle w:val="Compact"/>
              <w:jc w:val="left"/>
            </w:pPr>
            <w:r>
              <w:rPr>
                <w:b/>
                <w:bCs/>
              </w:rPr>
              <w:t xml:space="preserve">Dark chocolate</w:t>
            </w:r>
          </w:p>
        </w:tc>
        <w:tc>
          <w:tcPr/>
          <w:p>
            <w:pPr>
              <w:pStyle w:val="Compact"/>
              <w:jc w:val="left"/>
            </w:pPr>
            <w:r>
              <w:t xml:space="preserve">Flavonoids improve cerebral blood flow and cognition</w:t>
            </w:r>
          </w:p>
        </w:tc>
      </w:tr>
      <w:tr>
        <w:tc>
          <w:tcPr/>
          <w:p>
            <w:pPr>
              <w:pStyle w:val="Compact"/>
              <w:jc w:val="left"/>
            </w:pPr>
            <w:r>
              <w:rPr>
                <w:b/>
                <w:bCs/>
              </w:rPr>
              <w:t xml:space="preserve">Hot spices</w:t>
            </w:r>
          </w:p>
        </w:tc>
        <w:tc>
          <w:tcPr/>
          <w:p>
            <w:pPr>
              <w:pStyle w:val="Compact"/>
              <w:jc w:val="left"/>
            </w:pPr>
            <w:r>
              <w:t xml:space="preserve">Capsaicin increases calorie burn by ~50 kcal/day</w:t>
            </w:r>
          </w:p>
        </w:tc>
      </w:tr>
      <w:tr>
        <w:tc>
          <w:tcPr/>
          <w:p>
            <w:pPr>
              <w:pStyle w:val="Compact"/>
              <w:jc w:val="left"/>
            </w:pPr>
            <w:r>
              <w:rPr>
                <w:b/>
                <w:bCs/>
              </w:rPr>
              <w:t xml:space="preserve">Moderate coffee (3–4 cups)</w:t>
            </w:r>
          </w:p>
        </w:tc>
        <w:tc>
          <w:tcPr/>
          <w:p>
            <w:pPr>
              <w:pStyle w:val="Compact"/>
              <w:jc w:val="left"/>
            </w:pPr>
            <w:r>
              <w:t xml:space="preserve">Associated with lower risk of type 2 diabetes, liver disease, and depression</w:t>
            </w:r>
          </w:p>
        </w:tc>
      </w:tr>
      <w:tr>
        <w:tc>
          <w:tcPr/>
          <w:p>
            <w:pPr>
              <w:pStyle w:val="Compact"/>
              <w:jc w:val="left"/>
            </w:pPr>
            <w:r>
              <w:rPr>
                <w:b/>
                <w:bCs/>
              </w:rPr>
              <w:t xml:space="preserve">Adequate sleep</w:t>
            </w:r>
          </w:p>
        </w:tc>
        <w:tc>
          <w:tcPr/>
          <w:p>
            <w:pPr>
              <w:pStyle w:val="Compact"/>
              <w:jc w:val="left"/>
            </w:pPr>
            <w:r>
              <w:t xml:space="preserve">Sleep deprivation increases ghrelin (hunger) and decreases leptin (satiety)</w:t>
            </w:r>
          </w:p>
        </w:tc>
      </w:tr>
      <w:tr>
        <w:tc>
          <w:tcPr/>
          <w:p>
            <w:pPr>
              <w:pStyle w:val="Compact"/>
              <w:jc w:val="left"/>
            </w:pPr>
            <w:r>
              <w:rPr>
                <w:b/>
                <w:bCs/>
              </w:rPr>
              <w:t xml:space="preserve">Eating slowly</w:t>
            </w:r>
          </w:p>
        </w:tc>
        <w:tc>
          <w:tcPr/>
          <w:p>
            <w:pPr>
              <w:pStyle w:val="Compact"/>
              <w:jc w:val="left"/>
            </w:pPr>
            <w:r>
              <w:t xml:space="preserve">Reduces intake by 10–15% via satiety signals</w:t>
            </w:r>
          </w:p>
        </w:tc>
      </w:tr>
    </w:tbl>
    <w:p>
      <w:r>
        <w:pict>
          <v:rect style="width:0;height:1.5pt" o:hralign="center" o:hrstd="t" o:hr="t"/>
        </w:pict>
      </w:r>
    </w:p>
    <w:bookmarkEnd w:id="86"/>
    <w:bookmarkEnd w:id="87"/>
    <w:bookmarkStart w:id="95" w:name="Xb9219c4a6384352e823e6deda511f9242b41209"/>
    <w:p>
      <w:pPr>
        <w:pStyle w:val="1"/>
      </w:pPr>
      <w:r>
        <w:t xml:space="preserve">Part Three: Advanced Non-Conventional Nutritional Interventions</w:t>
      </w:r>
    </w:p>
    <w:bookmarkStart w:id="88" w:name="methylene-blue"/>
    <w:p>
      <w:pPr>
        <w:pStyle w:val="2"/>
      </w:pPr>
      <w:r>
        <w:t xml:space="preserve">1. Methylene Blue</w:t>
      </w:r>
    </w:p>
    <w:p>
      <w:pPr>
        <w:pStyle w:val="FirstParagraph"/>
      </w:pPr>
      <w:r>
        <w:rPr>
          <w:b/>
          <w:bCs/>
        </w:rPr>
        <w:t xml:space="preserve">Mechanism:</w:t>
      </w:r>
      <w:r>
        <w:t xml:space="preserve"> </w:t>
      </w:r>
      <w:r>
        <w:t xml:space="preserve">Alternative electron transporter in mitochondria that bypasses damaged complexes in the respiratory chain, increasing ATP production and reducing free radicals.</w:t>
      </w:r>
    </w:p>
    <w:tbl>
      <w:tblPr>
        <w:tblStyle w:val="Table"/>
        <w:tblW w:type="pct" w:w="5000"/>
        <w:jc w:val="left"/>
        <w:tblLayout w:type="fixed"/>
        <w:tblLook w:firstRow="1" w:lastRow="0" w:firstColumn="0" w:lastColumn="0" w:noHBand="0" w:noVBand="0" w:val="0020"/>
      </w:tblPr>
      <w:tblGrid>
        <w:gridCol w:w="2828"/>
        <w:gridCol w:w="2262"/>
        <w:gridCol w:w="2828"/>
      </w:tblGrid>
      <w:tr>
        <w:trPr>
          <w:tblHeader w:val="on"/>
        </w:trPr>
        <w:tc>
          <w:tcPr/>
          <w:p>
            <w:pPr>
              <w:pStyle w:val="Compact"/>
              <w:jc w:val="left"/>
            </w:pPr>
            <w:r>
              <w:t xml:space="preserve">Duration</w:t>
            </w:r>
          </w:p>
        </w:tc>
        <w:tc>
          <w:tcPr/>
          <w:p>
            <w:pPr>
              <w:pStyle w:val="Compact"/>
              <w:jc w:val="left"/>
            </w:pPr>
            <w:r>
              <w:t xml:space="preserve">Effect</w:t>
            </w:r>
          </w:p>
        </w:tc>
        <w:tc>
          <w:tcPr/>
          <w:p>
            <w:pPr>
              <w:pStyle w:val="Compact"/>
              <w:jc w:val="left"/>
            </w:pPr>
            <w:r>
              <w:t xml:space="preserve">Evidence</w:t>
            </w:r>
          </w:p>
        </w:tc>
      </w:tr>
      <w:tr>
        <w:tc>
          <w:tcPr/>
          <w:p>
            <w:pPr>
              <w:pStyle w:val="Compact"/>
              <w:jc w:val="left"/>
            </w:pPr>
            <w:r>
              <w:rPr>
                <w:b/>
                <w:bCs/>
              </w:rPr>
              <w:t xml:space="preserve">Short-term (hours–days)</w:t>
            </w:r>
          </w:p>
        </w:tc>
        <w:tc>
          <w:tcPr/>
          <w:p>
            <w:pPr>
              <w:pStyle w:val="Compact"/>
              <w:jc w:val="left"/>
            </w:pPr>
            <w:r>
              <w:t xml:space="preserve">↑ Mental clarity, ↓ oxidative stress, urine color change</w:t>
            </w:r>
          </w:p>
        </w:tc>
        <w:tc>
          <w:tcPr/>
          <w:p>
            <w:pPr>
              <w:pStyle w:val="Compact"/>
              <w:jc w:val="left"/>
            </w:pPr>
            <w:r>
              <w:t xml:space="preserve">Randomized trial (n=42): 260 mg/day improved memory</w:t>
            </w:r>
          </w:p>
        </w:tc>
      </w:tr>
      <w:tr>
        <w:tc>
          <w:tcPr/>
          <w:p>
            <w:pPr>
              <w:pStyle w:val="Compact"/>
              <w:jc w:val="left"/>
            </w:pPr>
            <w:r>
              <w:rPr>
                <w:b/>
                <w:bCs/>
              </w:rPr>
              <w:t xml:space="preserve">Long-term (weeks–years)</w:t>
            </w:r>
          </w:p>
        </w:tc>
        <w:tc>
          <w:tcPr/>
          <w:p>
            <w:pPr>
              <w:pStyle w:val="Compact"/>
              <w:jc w:val="left"/>
            </w:pPr>
            <w:r>
              <w:t xml:space="preserve">Slowed cognitive decline in moderate Alzheimer’s, neuroprotection</w:t>
            </w:r>
          </w:p>
        </w:tc>
        <w:tc>
          <w:tcPr/>
          <w:p>
            <w:pPr>
              <w:pStyle w:val="Compact"/>
              <w:jc w:val="left"/>
            </w:pPr>
            <w:r>
              <w:t xml:space="preserve">Phase II trial: −5.4 points on ADAS-cog</w:t>
            </w:r>
          </w:p>
        </w:tc>
      </w:tr>
    </w:tbl>
    <w:p>
      <w:pPr>
        <w:pStyle w:val="a0"/>
      </w:pPr>
      <w:r>
        <w:t xml:space="preserve">⚠️</w:t>
      </w:r>
      <w:r>
        <w:t xml:space="preserve"> </w:t>
      </w:r>
      <w:r>
        <w:rPr>
          <w:b/>
          <w:bCs/>
        </w:rPr>
        <w:t xml:space="preserve">Warnings:</w:t>
      </w:r>
      <w:r>
        <w:t xml:space="preserve"> </w:t>
      </w:r>
      <w:r>
        <w:t xml:space="preserve">High doses (&gt;7 mg/kg) cause reverse toxicity. Avoid combining with SSRIs or MAOIs. Use only pharmaceutical-grade products.</w:t>
      </w:r>
    </w:p>
    <w:bookmarkEnd w:id="88"/>
    <w:bookmarkStart w:id="89" w:name="berberine"/>
    <w:p>
      <w:pPr>
        <w:pStyle w:val="2"/>
      </w:pPr>
      <w:r>
        <w:t xml:space="preserve">2. Berberine</w:t>
      </w:r>
    </w:p>
    <w:p>
      <w:pPr>
        <w:pStyle w:val="FirstParagraph"/>
      </w:pPr>
      <w:r>
        <w:rPr>
          <w:b/>
          <w:bCs/>
        </w:rPr>
        <w:t xml:space="preserve">Mechanism:</w:t>
      </w:r>
      <w:r>
        <w:t xml:space="preserve"> </w:t>
      </w:r>
      <w:r>
        <w:t xml:space="preserve">AMPK activation (cellular energy pathway) → ↑ glucose consumption, ↑ fat oxidation, ↓ cholesterol synthesis. Known as</w:t>
      </w:r>
      <w:r>
        <w:t xml:space="preserve"> </w:t>
      </w:r>
      <w:r>
        <w:rPr>
          <w:b/>
          <w:bCs/>
        </w:rPr>
        <w:t xml:space="preserve">“</w:t>
      </w:r>
      <w:r>
        <w:rPr>
          <w:b/>
          <w:bCs/>
        </w:rPr>
        <w:t xml:space="preserve">nature’s metformin.</w:t>
      </w:r>
      <w:r>
        <w:rPr>
          <w:b/>
          <w:bCs/>
        </w:rPr>
        <w:t xml:space="preserve">”</w:t>
      </w:r>
    </w:p>
    <w:tbl>
      <w:tblPr>
        <w:tblStyle w:val="Table"/>
        <w:tblW w:type="pct" w:w="5000"/>
        <w:jc w:val="left"/>
        <w:tblLayout w:type="fixed"/>
        <w:tblLook w:firstRow="1" w:lastRow="0" w:firstColumn="0" w:lastColumn="0" w:noHBand="0" w:noVBand="0" w:val="0020"/>
      </w:tblPr>
      <w:tblGrid>
        <w:gridCol w:w="2828"/>
        <w:gridCol w:w="2262"/>
        <w:gridCol w:w="2828"/>
      </w:tblGrid>
      <w:tr>
        <w:trPr>
          <w:tblHeader w:val="on"/>
        </w:trPr>
        <w:tc>
          <w:tcPr/>
          <w:p>
            <w:pPr>
              <w:pStyle w:val="Compact"/>
              <w:jc w:val="left"/>
            </w:pPr>
            <w:r>
              <w:t xml:space="preserve">Duration</w:t>
            </w:r>
          </w:p>
        </w:tc>
        <w:tc>
          <w:tcPr/>
          <w:p>
            <w:pPr>
              <w:pStyle w:val="Compact"/>
              <w:jc w:val="left"/>
            </w:pPr>
            <w:r>
              <w:t xml:space="preserve">Effect</w:t>
            </w:r>
          </w:p>
        </w:tc>
        <w:tc>
          <w:tcPr/>
          <w:p>
            <w:pPr>
              <w:pStyle w:val="Compact"/>
              <w:jc w:val="left"/>
            </w:pPr>
            <w:r>
              <w:t xml:space="preserve">Evidence</w:t>
            </w:r>
          </w:p>
        </w:tc>
      </w:tr>
      <w:tr>
        <w:tc>
          <w:tcPr/>
          <w:p>
            <w:pPr>
              <w:pStyle w:val="Compact"/>
              <w:jc w:val="left"/>
            </w:pPr>
            <w:r>
              <w:rPr>
                <w:b/>
                <w:bCs/>
              </w:rPr>
              <w:t xml:space="preserve">Short-term (weeks)</w:t>
            </w:r>
          </w:p>
        </w:tc>
        <w:tc>
          <w:tcPr/>
          <w:p>
            <w:pPr>
              <w:pStyle w:val="Compact"/>
              <w:jc w:val="left"/>
            </w:pPr>
            <w:r>
              <w:t xml:space="preserve">↓ Fasting glucose by 1.2 mmol/L, ↓ HOMA-IR by 73%</w:t>
            </w:r>
          </w:p>
        </w:tc>
        <w:tc>
          <w:tcPr/>
          <w:p>
            <w:pPr>
              <w:pStyle w:val="Compact"/>
              <w:jc w:val="left"/>
            </w:pPr>
            <w:r>
              <w:t xml:space="preserve">Meta-analysis + clinical trials</w:t>
            </w:r>
          </w:p>
        </w:tc>
      </w:tr>
      <w:tr>
        <w:tc>
          <w:tcPr/>
          <w:p>
            <w:pPr>
              <w:pStyle w:val="Compact"/>
              <w:jc w:val="left"/>
            </w:pPr>
            <w:r>
              <w:rPr>
                <w:b/>
                <w:bCs/>
              </w:rPr>
              <w:t xml:space="preserve">Long-term (3–12 months)</w:t>
            </w:r>
          </w:p>
        </w:tc>
        <w:tc>
          <w:tcPr/>
          <w:p>
            <w:pPr>
              <w:pStyle w:val="Compact"/>
              <w:jc w:val="left"/>
            </w:pPr>
            <w:r>
              <w:t xml:space="preserve">↓ Triglycerides and LDL cholesterol, ↓ CRP, ↓ weight 2.3 kg</w:t>
            </w:r>
          </w:p>
        </w:tc>
        <w:tc>
          <w:tcPr/>
          <w:p>
            <w:pPr>
              <w:pStyle w:val="Compact"/>
              <w:jc w:val="left"/>
            </w:pPr>
            <w:r>
              <w:t xml:space="preserve">Meta-analysis of 27 trials</w:t>
            </w:r>
          </w:p>
        </w:tc>
      </w:tr>
    </w:tbl>
    <w:p>
      <w:pPr>
        <w:pStyle w:val="a0"/>
      </w:pPr>
      <w:r>
        <w:t xml:space="preserve">⚠️</w:t>
      </w:r>
      <w:r>
        <w:t xml:space="preserve"> </w:t>
      </w:r>
      <w:r>
        <w:rPr>
          <w:b/>
          <w:bCs/>
        </w:rPr>
        <w:t xml:space="preserve">Warnings:</w:t>
      </w:r>
      <w:r>
        <w:t xml:space="preserve"> </w:t>
      </w:r>
      <w:r>
        <w:t xml:space="preserve">Inhibits CYP3A4 and CYP2D6 enzymes (interaction with warfarin, cyclosporine). Unsafe in pregnancy and lactation.</w:t>
      </w:r>
    </w:p>
    <w:bookmarkEnd w:id="89"/>
    <w:bookmarkStart w:id="90" w:name="exogenous-ketones"/>
    <w:p>
      <w:pPr>
        <w:pStyle w:val="2"/>
      </w:pPr>
      <w:r>
        <w:t xml:space="preserve">3. Exogenous Ketones</w:t>
      </w:r>
    </w:p>
    <w:p>
      <w:pPr>
        <w:pStyle w:val="FirstParagraph"/>
      </w:pPr>
      <w:r>
        <w:rPr>
          <w:b/>
          <w:bCs/>
        </w:rPr>
        <w:t xml:space="preserve">Mechanism:</w:t>
      </w:r>
      <w:r>
        <w:t xml:space="preserve"> </w:t>
      </w:r>
      <w:r>
        <w:t xml:space="preserve">β-hydroxybutyrate salts or esters raise blood ketones within 30–60 minutes without fasting.</w:t>
      </w:r>
    </w:p>
    <w:tbl>
      <w:tblPr>
        <w:tblStyle w:val="Table"/>
        <w:tblW w:type="pct" w:w="5000"/>
        <w:jc w:val="left"/>
        <w:tblLayout w:type="fixed"/>
        <w:tblLook w:firstRow="1" w:lastRow="0" w:firstColumn="0" w:lastColumn="0" w:noHBand="0" w:noVBand="0" w:val="0020"/>
      </w:tblPr>
      <w:tblGrid>
        <w:gridCol w:w="2828"/>
        <w:gridCol w:w="2262"/>
        <w:gridCol w:w="2828"/>
      </w:tblGrid>
      <w:tr>
        <w:trPr>
          <w:tblHeader w:val="on"/>
        </w:trPr>
        <w:tc>
          <w:tcPr/>
          <w:p>
            <w:pPr>
              <w:pStyle w:val="Compact"/>
              <w:jc w:val="left"/>
            </w:pPr>
            <w:r>
              <w:t xml:space="preserve">Duration</w:t>
            </w:r>
          </w:p>
        </w:tc>
        <w:tc>
          <w:tcPr/>
          <w:p>
            <w:pPr>
              <w:pStyle w:val="Compact"/>
              <w:jc w:val="left"/>
            </w:pPr>
            <w:r>
              <w:t xml:space="preserve">Effect</w:t>
            </w:r>
          </w:p>
        </w:tc>
        <w:tc>
          <w:tcPr/>
          <w:p>
            <w:pPr>
              <w:pStyle w:val="Compact"/>
              <w:jc w:val="left"/>
            </w:pPr>
            <w:r>
              <w:t xml:space="preserve">Evidence</w:t>
            </w:r>
          </w:p>
        </w:tc>
      </w:tr>
      <w:tr>
        <w:tc>
          <w:tcPr/>
          <w:p>
            <w:pPr>
              <w:pStyle w:val="Compact"/>
              <w:jc w:val="left"/>
            </w:pPr>
            <w:r>
              <w:rPr>
                <w:b/>
                <w:bCs/>
              </w:rPr>
              <w:t xml:space="preserve">Short-term (minutes–hours)</w:t>
            </w:r>
          </w:p>
        </w:tc>
        <w:tc>
          <w:tcPr/>
          <w:p>
            <w:pPr>
              <w:pStyle w:val="Compact"/>
              <w:jc w:val="left"/>
            </w:pPr>
            <w:r>
              <w:t xml:space="preserve">↓ Blood glucose 1.1 mmol/L, ↓ appetite 15–20%, ↑ cognitive performance</w:t>
            </w:r>
          </w:p>
        </w:tc>
        <w:tc>
          <w:tcPr/>
          <w:p>
            <w:pPr>
              <w:pStyle w:val="Compact"/>
              <w:jc w:val="left"/>
            </w:pPr>
            <w:r>
              <w:t xml:space="preserve">Trials on athletes and healthy volunteers</w:t>
            </w:r>
          </w:p>
        </w:tc>
      </w:tr>
      <w:tr>
        <w:tc>
          <w:tcPr/>
          <w:p>
            <w:pPr>
              <w:pStyle w:val="Compact"/>
              <w:jc w:val="left"/>
            </w:pPr>
            <w:r>
              <w:rPr>
                <w:b/>
                <w:bCs/>
              </w:rPr>
              <w:t xml:space="preserve">Long-term (weeks–months)</w:t>
            </w:r>
          </w:p>
        </w:tc>
        <w:tc>
          <w:tcPr/>
          <w:p>
            <w:pPr>
              <w:pStyle w:val="Compact"/>
              <w:jc w:val="left"/>
            </w:pPr>
            <w:r>
              <w:t xml:space="preserve">↓ Body fat 2.1 kg, ↑ lean mass 1.3 kg, ↓ IL-6 and TNF-α</w:t>
            </w:r>
          </w:p>
        </w:tc>
        <w:tc>
          <w:tcPr/>
          <w:p>
            <w:pPr>
              <w:pStyle w:val="Compact"/>
              <w:jc w:val="left"/>
            </w:pPr>
            <w:r>
              <w:t xml:space="preserve">12-week trial (n=40)</w:t>
            </w:r>
          </w:p>
        </w:tc>
      </w:tr>
    </w:tbl>
    <w:p>
      <w:pPr>
        <w:pStyle w:val="a0"/>
      </w:pPr>
      <w:r>
        <w:t xml:space="preserve">⚠️</w:t>
      </w:r>
      <w:r>
        <w:t xml:space="preserve"> </w:t>
      </w:r>
      <w:r>
        <w:rPr>
          <w:b/>
          <w:bCs/>
        </w:rPr>
        <w:t xml:space="preserve">Warnings:</w:t>
      </w:r>
      <w:r>
        <w:t xml:space="preserve"> </w:t>
      </w:r>
      <w:r>
        <w:t xml:space="preserve">Do not induce long-term mitochondrial adaptations like the ketogenic diet. High cost ($3–5/dose). Risk of non-diabetic ketoacidosis in type 1 diabetics.</w:t>
      </w:r>
    </w:p>
    <w:bookmarkEnd w:id="90"/>
    <w:bookmarkStart w:id="91" w:name="cyclical-ketogenic-diet"/>
    <w:p>
      <w:pPr>
        <w:pStyle w:val="2"/>
      </w:pPr>
      <w:r>
        <w:t xml:space="preserve">4. Cyclical Ketogenic Diet</w:t>
      </w:r>
    </w:p>
    <w:p>
      <w:pPr>
        <w:pStyle w:val="FirstParagraph"/>
      </w:pPr>
      <w:r>
        <w:rPr>
          <w:b/>
          <w:bCs/>
        </w:rPr>
        <w:t xml:space="preserve">Mechanism:</w:t>
      </w:r>
      <w:r>
        <w:t xml:space="preserve"> </w:t>
      </w:r>
      <w:r>
        <w:t xml:space="preserve">Continuous long-term ketosis may trigger</w:t>
      </w:r>
      <w:r>
        <w:t xml:space="preserve"> </w:t>
      </w:r>
      <w:r>
        <w:rPr>
          <w:b/>
          <w:bCs/>
        </w:rPr>
        <w:t xml:space="preserve">cellular senescence</w:t>
      </w:r>
      <w:r>
        <w:t xml:space="preserve"> </w:t>
      </w:r>
      <w:r>
        <w:t xml:space="preserve">in heart and kidneys via p53 activation. Cyclical patterns prevent this negative adaptation.</w:t>
      </w:r>
    </w:p>
    <w:tbl>
      <w:tblPr>
        <w:tblStyle w:val="Table"/>
        <w:tblW w:type="pct" w:w="5000"/>
        <w:jc w:val="left"/>
        <w:tblLayout w:type="fixed"/>
        <w:tblLook w:firstRow="1" w:lastRow="0" w:firstColumn="0" w:lastColumn="0" w:noHBand="0" w:noVBand="0" w:val="0020"/>
      </w:tblPr>
      <w:tblGrid>
        <w:gridCol w:w="2030"/>
        <w:gridCol w:w="3858"/>
        <w:gridCol w:w="2030"/>
      </w:tblGrid>
      <w:tr>
        <w:trPr>
          <w:tblHeader w:val="on"/>
        </w:trPr>
        <w:tc>
          <w:tcPr/>
          <w:p>
            <w:pPr>
              <w:pStyle w:val="Compact"/>
              <w:jc w:val="left"/>
            </w:pPr>
            <w:r>
              <w:t xml:space="preserve">Protocol</w:t>
            </w:r>
          </w:p>
        </w:tc>
        <w:tc>
          <w:tcPr/>
          <w:p>
            <w:pPr>
              <w:pStyle w:val="Compact"/>
              <w:jc w:val="left"/>
            </w:pPr>
            <w:r>
              <w:t xml:space="preserve">Preventive Benefit</w:t>
            </w:r>
          </w:p>
        </w:tc>
        <w:tc>
          <w:tcPr/>
          <w:p>
            <w:pPr>
              <w:pStyle w:val="Compact"/>
              <w:jc w:val="left"/>
            </w:pPr>
            <w:r>
              <w:t xml:space="preserve">Evidence</w:t>
            </w:r>
          </w:p>
        </w:tc>
      </w:tr>
      <w:tr>
        <w:tc>
          <w:tcPr/>
          <w:p>
            <w:pPr>
              <w:pStyle w:val="Compact"/>
              <w:jc w:val="left"/>
            </w:pPr>
            <w:r>
              <w:rPr>
                <w:b/>
                <w:bCs/>
              </w:rPr>
              <w:t xml:space="preserve">Keto 5 days + carbs 2 days</w:t>
            </w:r>
          </w:p>
        </w:tc>
        <w:tc>
          <w:tcPr/>
          <w:p>
            <w:pPr>
              <w:pStyle w:val="Compact"/>
              <w:jc w:val="left"/>
            </w:pPr>
            <w:r>
              <w:t xml:space="preserve">Glycogen restoration, ↓ p53 stress, ↑ microbiome diversity</w:t>
            </w:r>
          </w:p>
        </w:tc>
        <w:tc>
          <w:tcPr/>
          <w:p>
            <w:pPr>
              <w:pStyle w:val="Compact"/>
              <w:jc w:val="left"/>
            </w:pPr>
            <w:r>
              <w:t xml:space="preserve">Animal studies 2024</w:t>
            </w:r>
          </w:p>
        </w:tc>
      </w:tr>
      <w:tr>
        <w:tc>
          <w:tcPr/>
          <w:p>
            <w:pPr>
              <w:pStyle w:val="Compact"/>
              <w:jc w:val="left"/>
            </w:pPr>
            <w:r>
              <w:rPr>
                <w:b/>
                <w:bCs/>
              </w:rPr>
              <w:t xml:space="preserve">Keto 3 weeks + 1 week refeed</w:t>
            </w:r>
          </w:p>
        </w:tc>
        <w:tc>
          <w:tcPr/>
          <w:p>
            <w:pPr>
              <w:pStyle w:val="Compact"/>
              <w:jc w:val="left"/>
            </w:pPr>
            <w:r>
              <w:t xml:space="preserve">DNA repair activation, ↓ inflammation</w:t>
            </w:r>
          </w:p>
        </w:tc>
        <w:tc>
          <w:tcPr/>
          <w:p>
            <w:pPr>
              <w:pStyle w:val="Compact"/>
              <w:jc w:val="left"/>
            </w:pPr>
            <w:r>
              <w:t xml:space="preserve">Animal models</w:t>
            </w:r>
          </w:p>
        </w:tc>
      </w:tr>
    </w:tbl>
    <w:p>
      <w:pPr>
        <w:pStyle w:val="a0"/>
      </w:pPr>
      <w:r>
        <w:t xml:space="preserve">⚠️</w:t>
      </w:r>
      <w:r>
        <w:t xml:space="preserve"> </w:t>
      </w:r>
      <w:r>
        <w:rPr>
          <w:b/>
          <w:bCs/>
        </w:rPr>
        <w:t xml:space="preserve">Warning:</w:t>
      </w:r>
      <w:r>
        <w:t xml:space="preserve"> </w:t>
      </w:r>
      <w:r>
        <w:t xml:space="preserve">No long-term human data (&gt;1 year) yet.</w:t>
      </w:r>
    </w:p>
    <w:bookmarkEnd w:id="91"/>
    <w:bookmarkStart w:id="92" w:name="cold-exposure-nutrition"/>
    <w:p>
      <w:pPr>
        <w:pStyle w:val="2"/>
      </w:pPr>
      <w:r>
        <w:t xml:space="preserve">5. Cold Exposure + Nutrition</w:t>
      </w:r>
    </w:p>
    <w:p>
      <w:pPr>
        <w:pStyle w:val="FirstParagraph"/>
      </w:pPr>
      <w:r>
        <w:t xml:space="preserve">Cold exposure (10–16°C) stimulates brown adipose tissue and alters fuel preference:</w:t>
      </w:r>
      <w:r>
        <w:t xml:space="preserve"> </w:t>
      </w:r>
      <w:r>
        <w:t xml:space="preserve">- ↑ Fat oxidation by 30–50% during rest.</w:t>
      </w:r>
      <w:r>
        <w:t xml:space="preserve"> </w:t>
      </w:r>
      <w:r>
        <w:t xml:space="preserve">- Interaction with high protein: ↑ energy expenditure by 18%.</w:t>
      </w:r>
      <w:r>
        <w:t xml:space="preserve"> </w:t>
      </w:r>
      <w:r>
        <w:t xml:space="preserve">- Interaction with capsaicin: ↑ energy expenditure by 22%.</w:t>
      </w:r>
      <w:r>
        <w:t xml:space="preserve"> </w:t>
      </w:r>
      <w:r>
        <w:t xml:space="preserve">- ⚠️ 30–40% of people have weak cold response. Combining with calorie restriction may harm thyroid function.</w:t>
      </w:r>
    </w:p>
    <w:bookmarkEnd w:id="92"/>
    <w:bookmarkStart w:id="93" w:name="spermidine"/>
    <w:p>
      <w:pPr>
        <w:pStyle w:val="2"/>
      </w:pPr>
      <w:r>
        <w:t xml:space="preserve">6. Spermidine</w:t>
      </w:r>
    </w:p>
    <w:p>
      <w:pPr>
        <w:pStyle w:val="FirstParagraph"/>
      </w:pPr>
      <w:r>
        <w:rPr>
          <w:b/>
          <w:bCs/>
        </w:rPr>
        <w:t xml:space="preserve">Mechanism:</w:t>
      </w:r>
      <w:r>
        <w:t xml:space="preserve"> </w:t>
      </w:r>
      <w:r>
        <w:t xml:space="preserve">Natural polyamine inhibits EP300 → deacetylation of autophagy proteins → activation of mTOR-independent autophagy pathway.</w:t>
      </w:r>
    </w:p>
    <w:tbl>
      <w:tblPr>
        <w:tblStyle w:val="Table"/>
        <w:tblW w:type="pct" w:w="5000"/>
        <w:jc w:val="left"/>
        <w:tblLayout w:type="fixed"/>
        <w:tblLook w:firstRow="1" w:lastRow="0" w:firstColumn="0" w:lastColumn="0" w:noHBand="0" w:noVBand="0" w:val="0020"/>
      </w:tblPr>
      <w:tblGrid>
        <w:gridCol w:w="2828"/>
        <w:gridCol w:w="2262"/>
        <w:gridCol w:w="2828"/>
      </w:tblGrid>
      <w:tr>
        <w:trPr>
          <w:tblHeader w:val="on"/>
        </w:trPr>
        <w:tc>
          <w:tcPr/>
          <w:p>
            <w:pPr>
              <w:pStyle w:val="Compact"/>
              <w:jc w:val="left"/>
            </w:pPr>
            <w:r>
              <w:t xml:space="preserve">Duration</w:t>
            </w:r>
          </w:p>
        </w:tc>
        <w:tc>
          <w:tcPr/>
          <w:p>
            <w:pPr>
              <w:pStyle w:val="Compact"/>
              <w:jc w:val="left"/>
            </w:pPr>
            <w:r>
              <w:t xml:space="preserve">Effect</w:t>
            </w:r>
          </w:p>
        </w:tc>
        <w:tc>
          <w:tcPr/>
          <w:p>
            <w:pPr>
              <w:pStyle w:val="Compact"/>
              <w:jc w:val="left"/>
            </w:pPr>
            <w:r>
              <w:t xml:space="preserve">Evidence</w:t>
            </w:r>
          </w:p>
        </w:tc>
      </w:tr>
      <w:tr>
        <w:tc>
          <w:tcPr/>
          <w:p>
            <w:pPr>
              <w:pStyle w:val="Compact"/>
              <w:jc w:val="left"/>
            </w:pPr>
            <w:r>
              <w:rPr>
                <w:b/>
                <w:bCs/>
              </w:rPr>
              <w:t xml:space="preserve">Short-term (weeks)</w:t>
            </w:r>
          </w:p>
        </w:tc>
        <w:tc>
          <w:tcPr/>
          <w:p>
            <w:pPr>
              <w:pStyle w:val="Compact"/>
              <w:jc w:val="left"/>
            </w:pPr>
            <w:r>
              <w:t xml:space="preserve">↓ Bloating, improved sleep, ↑ autophagy markers in blood</w:t>
            </w:r>
          </w:p>
        </w:tc>
        <w:tc>
          <w:tcPr/>
          <w:p>
            <w:pPr>
              <w:pStyle w:val="Compact"/>
              <w:jc w:val="left"/>
            </w:pPr>
            <w:r>
              <w:t xml:space="preserve">Randomized trial (n=60 elderly)</w:t>
            </w:r>
          </w:p>
        </w:tc>
      </w:tr>
      <w:tr>
        <w:tc>
          <w:tcPr/>
          <w:p>
            <w:pPr>
              <w:pStyle w:val="Compact"/>
              <w:jc w:val="left"/>
            </w:pPr>
            <w:r>
              <w:rPr>
                <w:b/>
                <w:bCs/>
              </w:rPr>
              <w:t xml:space="preserve">Long-term (years)</w:t>
            </w:r>
          </w:p>
        </w:tc>
        <w:tc>
          <w:tcPr/>
          <w:p>
            <w:pPr>
              <w:pStyle w:val="Compact"/>
              <w:jc w:val="left"/>
            </w:pPr>
            <w:r>
              <w:t xml:space="preserve">↓ Cardiovascular mortality 40%, ↓ dementia 35%</w:t>
            </w:r>
          </w:p>
        </w:tc>
        <w:tc>
          <w:tcPr/>
          <w:p>
            <w:pPr>
              <w:pStyle w:val="Compact"/>
              <w:jc w:val="left"/>
            </w:pPr>
            <w:r>
              <w:t xml:space="preserve">European epidemiological study (20-year follow-up, n=829)</w:t>
            </w:r>
          </w:p>
        </w:tc>
      </w:tr>
    </w:tbl>
    <w:p>
      <w:pPr>
        <w:pStyle w:val="a0"/>
      </w:pPr>
      <w:r>
        <w:t xml:space="preserve">⚠️</w:t>
      </w:r>
      <w:r>
        <w:t xml:space="preserve"> </w:t>
      </w:r>
      <w:r>
        <w:rPr>
          <w:b/>
          <w:bCs/>
        </w:rPr>
        <w:t xml:space="preserve">Warning:</w:t>
      </w:r>
      <w:r>
        <w:t xml:space="preserve"> </w:t>
      </w:r>
      <w:r>
        <w:t xml:space="preserve">In dormant tumor cases, autophagy might support cancer cell survival under stress.</w:t>
      </w:r>
    </w:p>
    <w:bookmarkEnd w:id="93"/>
    <w:bookmarkStart w:id="94" w:name="carnivorezero-carb-diet"/>
    <w:p>
      <w:pPr>
        <w:pStyle w:val="2"/>
      </w:pPr>
      <w:r>
        <w:t xml:space="preserve">7. Carnivore/Zero-Carb Diet</w:t>
      </w:r>
    </w:p>
    <w:p>
      <w:pPr>
        <w:pStyle w:val="FirstParagraph"/>
      </w:pPr>
      <w:r>
        <w:rPr>
          <w:b/>
          <w:bCs/>
        </w:rPr>
        <w:t xml:space="preserve">Mechanism:</w:t>
      </w:r>
      <w:r>
        <w:t xml:space="preserve"> </w:t>
      </w:r>
      <w:r>
        <w:t xml:space="preserve">Exclusion of all plant compounds → ↓ intestinal antigen load, metabolic shift via gluconeogenesis and light ketosis.</w:t>
      </w:r>
    </w:p>
    <w:tbl>
      <w:tblPr>
        <w:tblStyle w:val="Table"/>
        <w:tblW w:type="pct" w:w="5000"/>
        <w:jc w:val="left"/>
        <w:tblLayout w:type="fixed"/>
        <w:tblLook w:firstRow="1" w:lastRow="0" w:firstColumn="0" w:lastColumn="0" w:noHBand="0" w:noVBand="0" w:val="0020"/>
      </w:tblPr>
      <w:tblGrid>
        <w:gridCol w:w="2828"/>
        <w:gridCol w:w="2262"/>
        <w:gridCol w:w="2828"/>
      </w:tblGrid>
      <w:tr>
        <w:trPr>
          <w:tblHeader w:val="on"/>
        </w:trPr>
        <w:tc>
          <w:tcPr/>
          <w:p>
            <w:pPr>
              <w:pStyle w:val="Compact"/>
              <w:jc w:val="left"/>
            </w:pPr>
            <w:r>
              <w:t xml:space="preserve">Duration</w:t>
            </w:r>
          </w:p>
        </w:tc>
        <w:tc>
          <w:tcPr/>
          <w:p>
            <w:pPr>
              <w:pStyle w:val="Compact"/>
              <w:jc w:val="left"/>
            </w:pPr>
            <w:r>
              <w:t xml:space="preserve">Effect</w:t>
            </w:r>
          </w:p>
        </w:tc>
        <w:tc>
          <w:tcPr/>
          <w:p>
            <w:pPr>
              <w:pStyle w:val="Compact"/>
              <w:jc w:val="left"/>
            </w:pPr>
            <w:r>
              <w:t xml:space="preserve">Evidence</w:t>
            </w:r>
          </w:p>
        </w:tc>
      </w:tr>
      <w:tr>
        <w:tc>
          <w:tcPr/>
          <w:p>
            <w:pPr>
              <w:pStyle w:val="Compact"/>
              <w:jc w:val="left"/>
            </w:pPr>
            <w:r>
              <w:rPr>
                <w:b/>
                <w:bCs/>
              </w:rPr>
              <w:t xml:space="preserve">Short-term (weeks)</w:t>
            </w:r>
          </w:p>
        </w:tc>
        <w:tc>
          <w:tcPr/>
          <w:p>
            <w:pPr>
              <w:pStyle w:val="Compact"/>
              <w:jc w:val="left"/>
            </w:pPr>
            <w:r>
              <w:t xml:space="preserve">↓ Bloating, ↑ satiety, rapid water loss, ↓ inflammatory markers</w:t>
            </w:r>
          </w:p>
        </w:tc>
        <w:tc>
          <w:tcPr/>
          <w:p>
            <w:pPr>
              <w:pStyle w:val="Compact"/>
              <w:jc w:val="left"/>
            </w:pPr>
            <w:r>
              <w:t xml:space="preserve">Global self-report survey (n&gt;1500)</w:t>
            </w:r>
          </w:p>
        </w:tc>
      </w:tr>
      <w:tr>
        <w:tc>
          <w:tcPr/>
          <w:p>
            <w:pPr>
              <w:pStyle w:val="Compact"/>
              <w:jc w:val="left"/>
            </w:pPr>
            <w:r>
              <w:rPr>
                <w:b/>
                <w:bCs/>
              </w:rPr>
              <w:t xml:space="preserve">Long-term (months)</w:t>
            </w:r>
          </w:p>
        </w:tc>
        <w:tc>
          <w:tcPr/>
          <w:p>
            <w:pPr>
              <w:pStyle w:val="Compact"/>
              <w:jc w:val="left"/>
            </w:pPr>
            <w:r>
              <w:t xml:space="preserve">Subjective improvement in autoimmune/digestive diseases in a subset</w:t>
            </w:r>
          </w:p>
        </w:tc>
        <w:tc>
          <w:tcPr/>
          <w:p>
            <w:pPr>
              <w:pStyle w:val="Compact"/>
              <w:jc w:val="left"/>
            </w:pPr>
            <w:r>
              <w:t xml:space="preserve">Clinical cases (e.g., improved schizophrenia)</w:t>
            </w:r>
          </w:p>
        </w:tc>
      </w:tr>
    </w:tbl>
    <w:p>
      <w:pPr>
        <w:pStyle w:val="a0"/>
      </w:pPr>
      <w:r>
        <w:t xml:space="preserve">⚠️</w:t>
      </w:r>
      <w:r>
        <w:t xml:space="preserve"> </w:t>
      </w:r>
      <w:r>
        <w:rPr>
          <w:b/>
          <w:bCs/>
        </w:rPr>
        <w:t xml:space="preserve">Risks:</w:t>
      </w:r>
      <w:r>
        <w:t xml:space="preserve"> </w:t>
      </w:r>
      <w:r>
        <w:t xml:space="preserve">↓ Microbiome diversity 30%, ↓ butyrate production (weakened colonic barrier), ↑ potential TMAO, vitamin C/K2/magnesium deficiency. Considered a</w:t>
      </w:r>
      <w:r>
        <w:t xml:space="preserve"> </w:t>
      </w:r>
      <w:r>
        <w:rPr>
          <w:b/>
          <w:bCs/>
        </w:rPr>
        <w:t xml:space="preserve">diagnostic</w:t>
      </w:r>
      <w:r>
        <w:rPr>
          <w:b/>
          <w:bCs/>
        </w:rPr>
        <w:t xml:space="preserve"> </w:t>
      </w:r>
      <w:r>
        <w:rPr>
          <w:b/>
          <w:bCs/>
        </w:rPr>
        <w:t xml:space="preserve">“</w:t>
      </w:r>
      <w:r>
        <w:rPr>
          <w:b/>
          <w:bCs/>
        </w:rPr>
        <w:t xml:space="preserve">safe mode</w:t>
      </w:r>
      <w:r>
        <w:rPr>
          <w:b/>
          <w:bCs/>
        </w:rPr>
        <w:t xml:space="preserve">”</w:t>
      </w:r>
      <w:r>
        <w:t xml:space="preserve"> </w:t>
      </w:r>
      <w:r>
        <w:t xml:space="preserve">rather than a permanent operating system.</w:t>
      </w:r>
    </w:p>
    <w:p>
      <w:r>
        <w:pict>
          <v:rect style="width:0;height:1.5pt" o:hralign="center" o:hrstd="t" o:hr="t"/>
        </w:pict>
      </w:r>
    </w:p>
    <w:bookmarkEnd w:id="94"/>
    <w:bookmarkEnd w:id="95"/>
    <w:bookmarkStart w:id="99" w:name="Xfcf3fbcfb236ad587786d7c50be45ced6115689"/>
    <w:p>
      <w:pPr>
        <w:pStyle w:val="1"/>
      </w:pPr>
      <w:r>
        <w:t xml:space="preserve">Conclusion: Unified Operational Principles for Evidence-Based Nutrition</w:t>
      </w:r>
    </w:p>
    <w:p>
      <w:pPr>
        <w:pStyle w:val="FirstParagraph"/>
      </w:pPr>
      <w:r>
        <w:t xml:space="preserve">After this extensive cross-domain analysis, the following principles crystallize:</w:t>
      </w:r>
    </w:p>
    <w:bookmarkStart w:id="96" w:name="Xe5e56b250a796047f25769ae54ae3a959418c52"/>
    <w:p>
      <w:pPr>
        <w:pStyle w:val="3"/>
      </w:pPr>
      <w:r>
        <w:t xml:space="preserve">✅ Principles Supported by Multiple Evidence Streams</w:t>
      </w:r>
    </w:p>
    <w:p>
      <w:pPr>
        <w:pStyle w:val="Compact"/>
        <w:numPr>
          <w:ilvl w:val="0"/>
          <w:numId w:val="1013"/>
        </w:numPr>
      </w:pPr>
      <w:r>
        <w:rPr>
          <w:b/>
          <w:bCs/>
        </w:rPr>
        <w:t xml:space="preserve">Dose and context determine toxicity and benefit:</w:t>
      </w:r>
      <w:r>
        <w:t xml:space="preserve"> </w:t>
      </w:r>
      <w:r>
        <w:t xml:space="preserve">Low-dose methylene blue is beneficial; high-dose is toxic. Same principle applies to ketones, berberine, and even fasting.</w:t>
      </w:r>
    </w:p>
    <w:p>
      <w:pPr>
        <w:pStyle w:val="Compact"/>
        <w:numPr>
          <w:ilvl w:val="0"/>
          <w:numId w:val="1013"/>
        </w:numPr>
      </w:pPr>
      <w:r>
        <w:rPr>
          <w:b/>
          <w:bCs/>
        </w:rPr>
        <w:t xml:space="preserve">Diversity and rhythm outperform rigidity:</w:t>
      </w:r>
      <w:r>
        <w:t xml:space="preserve"> </w:t>
      </w:r>
      <w:r>
        <w:t xml:space="preserve">Cyclical patterns (cyclical keto, intermittent fasting, seasonal carnivore) maintain benefits while reducing long-term risks.</w:t>
      </w:r>
    </w:p>
    <w:p>
      <w:pPr>
        <w:pStyle w:val="Compact"/>
        <w:numPr>
          <w:ilvl w:val="0"/>
          <w:numId w:val="1013"/>
        </w:numPr>
      </w:pPr>
      <w:r>
        <w:rPr>
          <w:b/>
          <w:bCs/>
        </w:rPr>
        <w:t xml:space="preserve">Individuality is essential:</w:t>
      </w:r>
      <w:r>
        <w:t xml:space="preserve"> </w:t>
      </w:r>
      <w:r>
        <w:t xml:space="preserve">Responses vary based on genes (HLA, FLG), microbiome (TMAO, butyrate), sex, and age. There is no</w:t>
      </w:r>
      <w:r>
        <w:t xml:space="preserve"> </w:t>
      </w:r>
      <w:r>
        <w:t xml:space="preserve">“</w:t>
      </w:r>
      <w:r>
        <w:t xml:space="preserve">one system fits all.</w:t>
      </w:r>
      <w:r>
        <w:t xml:space="preserve">”</w:t>
      </w:r>
    </w:p>
    <w:p>
      <w:pPr>
        <w:pStyle w:val="Compact"/>
        <w:numPr>
          <w:ilvl w:val="0"/>
          <w:numId w:val="1013"/>
        </w:numPr>
      </w:pPr>
      <w:r>
        <w:rPr>
          <w:b/>
          <w:bCs/>
        </w:rPr>
        <w:t xml:space="preserve">Quality matters more than quantity:</w:t>
      </w:r>
      <w:r>
        <w:t xml:space="preserve"> </w:t>
      </w:r>
      <w:r>
        <w:t xml:space="preserve">The type of carbohydrates (whole vs. refined), type of fats (unsaturated vs. saturated), and cooking method (boiling vs. frying) matter more than calorie counting or dietary cholesterol alone.</w:t>
      </w:r>
    </w:p>
    <w:p>
      <w:pPr>
        <w:pStyle w:val="Compact"/>
        <w:numPr>
          <w:ilvl w:val="0"/>
          <w:numId w:val="1013"/>
        </w:numPr>
      </w:pPr>
      <w:r>
        <w:rPr>
          <w:b/>
          <w:bCs/>
        </w:rPr>
        <w:t xml:space="preserve">Shared mechanisms strengthen credibility:</w:t>
      </w:r>
      <w:r>
        <w:t xml:space="preserve"> </w:t>
      </w:r>
      <w:r>
        <w:t xml:space="preserve">When different interventions (berberine, metformin, fasting) converge on the same pathway (AMPK), confidence in that pathway’s therapeutic importance increases.</w:t>
      </w:r>
    </w:p>
    <w:bookmarkEnd w:id="96"/>
    <w:bookmarkStart w:id="97" w:name="critical-research-gaps"/>
    <w:p>
      <w:pPr>
        <w:pStyle w:val="3"/>
      </w:pPr>
      <w:r>
        <w:t xml:space="preserve">⚠️ Critical Research Gaps</w:t>
      </w:r>
    </w:p>
    <w:p>
      <w:pPr>
        <w:pStyle w:val="Compact"/>
        <w:numPr>
          <w:ilvl w:val="0"/>
          <w:numId w:val="1014"/>
        </w:numPr>
      </w:pPr>
      <w:r>
        <w:t xml:space="preserve">Lack of long-term human trials (&gt;1 year) for</w:t>
      </w:r>
      <w:r>
        <w:t xml:space="preserve"> </w:t>
      </w:r>
      <w:r>
        <w:t xml:space="preserve">“</w:t>
      </w:r>
      <w:r>
        <w:t xml:space="preserve">strange</w:t>
      </w:r>
      <w:r>
        <w:t xml:space="preserve">”</w:t>
      </w:r>
      <w:r>
        <w:t xml:space="preserve"> </w:t>
      </w:r>
      <w:r>
        <w:t xml:space="preserve">supplements (methylene blue, berberine, spermidine).</w:t>
      </w:r>
    </w:p>
    <w:p>
      <w:pPr>
        <w:pStyle w:val="Compact"/>
        <w:numPr>
          <w:ilvl w:val="0"/>
          <w:numId w:val="1014"/>
        </w:numPr>
      </w:pPr>
      <w:r>
        <w:t xml:space="preserve">Absence of direct comparisons between interventions (exogenous ketones vs. dietary ketosis vs. fasting).</w:t>
      </w:r>
    </w:p>
    <w:p>
      <w:pPr>
        <w:pStyle w:val="Compact"/>
        <w:numPr>
          <w:ilvl w:val="0"/>
          <w:numId w:val="1014"/>
        </w:numPr>
      </w:pPr>
      <w:r>
        <w:t xml:space="preserve">Role of dietary microRNAs (XenomiRs) in human gene regulation: intriguing hypothesis but inconclusive evidence.</w:t>
      </w:r>
    </w:p>
    <w:p>
      <w:pPr>
        <w:pStyle w:val="Compact"/>
        <w:numPr>
          <w:ilvl w:val="0"/>
          <w:numId w:val="1014"/>
        </w:numPr>
      </w:pPr>
      <w:r>
        <w:t xml:space="preserve">Long-term impact of poultry muscle myopathies (woody breast) on human health.</w:t>
      </w:r>
    </w:p>
    <w:bookmarkEnd w:id="97"/>
    <w:bookmarkStart w:id="98" w:name="final-practical-recommendation"/>
    <w:p>
      <w:pPr>
        <w:pStyle w:val="3"/>
      </w:pPr>
      <w:r>
        <w:t xml:space="preserve">🎯 Final Practical Recommendation</w:t>
      </w:r>
    </w:p>
    <w:p>
      <w:pPr>
        <w:pStyle w:val="aa"/>
      </w:pPr>
      <w:r>
        <w:rPr>
          <w:b/>
          <w:bCs/>
        </w:rPr>
        <w:t xml:space="preserve">Do not adopt nutritional interventions as dogma, but as controlled experiments:</w:t>
      </w:r>
      <w:r>
        <w:t xml:space="preserve"> </w:t>
      </w:r>
      <w:r>
        <w:t xml:space="preserve">Start with a low dose, monitor personal indicators (blood sugar, energy, digestion, sleep, inflammatory markers), document your experience, and be ready to adjust or stop when needed. Non-conventional nutrition is not a substitute for fundamentals (sleep, movement, mental balance), but a smart supplement used with clear intent, defined timeframe, and continuous monitoring.</w:t>
      </w:r>
    </w:p>
    <w:p>
      <w:pPr>
        <w:pStyle w:val="FirstParagraph"/>
      </w:pPr>
      <w:r>
        <w:rPr>
          <w:b/>
          <w:bCs/>
        </w:rPr>
        <w:t xml:space="preserve">Eggs, when consumed appropriately, remain one of the most nutrient-dense foods.</w:t>
      </w:r>
      <w:r>
        <w:t xml:space="preserve"> </w:t>
      </w:r>
      <w:r>
        <w:t xml:space="preserve">And poultry — whether through nutrient-rich indigenous breeds or advanced biotechnology — remains central to human nutrition. Understanding the complex interactions between food, genes, microbiome, and metabolism is the essence of evidence-based nutrition.</w:t>
      </w:r>
    </w:p>
    <w:p>
      <w:r>
        <w:pict>
          <v:rect style="width:0;height:1.5pt" o:hralign="center" o:hrstd="t" o:hr="t"/>
        </w:pict>
      </w:r>
    </w:p>
    <w:bookmarkEnd w:id="98"/>
    <w:bookmarkEnd w:id="99"/>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2026-04-23T15:47:11Z</dcterms:created>
  <dcterms:modified xsi:type="dcterms:W3CDTF">2026-04-23T15:47:11Z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2k12aknvj4rj58ln5rg-19dbac4f-1972-86ad-8000-090a694fd2f9-20260423154711","ReservedCode1":"","ContentPropagator":"001191110108MACG2KBH8F20000","PropagateID":"d2k12aknvj4rj58ln5rg-19dbac4f-1972-86ad-8000-090a694fd2f9-20260423154711","ReservedCode2":""}</vt:lpwstr>
  </property>
</Properties>
</file>