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User:</w:t>
      </w:r>
    </w:p>
    <w:p>
      <w:pPr>
        <w:pStyle w:val="Compact"/>
        <w:numPr>
          <w:ilvl w:val="0"/>
          <w:numId w:val="1001"/>
        </w:numPr>
      </w:pPr>
      <w:r>
        <w:t xml:space="preserve">user_pasted_clipboard_long_content_as_file_# ⚔️ THE GRAND CROSS.txt</w:t>
      </w:r>
    </w:p>
    <w:p>
      <w:pPr>
        <w:pStyle w:val="FirstParagraph"/>
      </w:pPr>
      <w:r>
        <w:t xml:space="preserve">Convert the following into Arabic</w:t>
      </w:r>
    </w:p>
    <w:p>
      <w:r>
        <w:pict>
          <v:rect style="width:0;height:1.5pt" o:hralign="center" o:hrstd="t" o:hr="t"/>
        </w:pict>
      </w:r>
    </w:p>
    <w:p>
      <w:pPr>
        <w:pStyle w:val="FirstParagraph"/>
      </w:pPr>
      <w:r>
        <w:rPr>
          <w:b/>
          <w:bCs/>
        </w:rPr>
        <w:t xml:space="preserve">Kimi:</w:t>
      </w:r>
    </w:p>
    <w:bookmarkStart w:id="20" w:name="X8fe7931c27659803f46674b41120bcf01538c75"/>
    <w:p>
      <w:pPr>
        <w:pStyle w:val="1"/>
      </w:pPr>
      <w:r>
        <w:t xml:space="preserve">⚔️ مفترق الطرق العظيم: حيث تتصادم ممالك الأحياء الأربع 🧬⚡🧠🛡️</w:t>
      </w:r>
    </w:p>
    <w:p>
      <w:pPr>
        <w:pStyle w:val="aa"/>
      </w:pPr>
      <w:r>
        <w:rPr>
          <w:i/>
          <w:iCs/>
        </w:rPr>
        <w:t xml:space="preserve">“</w:t>
      </w:r>
      <w:r>
        <w:rPr>
          <w:i/>
          <w:iCs/>
        </w:rPr>
        <w:t xml:space="preserve">أنت لست مجرد مجموعة من الأنظمة المنفصلة. أنت مجلس حرب يجتمع فيه الهرمونات، والنواقل العصبية، والأيضيات، والمحاربون على طاولة واحدة — وعندما يختلفون، تولد الأمراض.</w:t>
      </w:r>
      <w:r>
        <w:rPr>
          <w:i/>
          <w:iCs/>
        </w:rPr>
        <w:t xml:space="preserve">”</w:t>
      </w:r>
    </w:p>
    <w:p>
      <w:r>
        <w:pict>
          <v:rect style="width:0;height:1.5pt" o:hralign="center" o:hrstd="t" o:hr="t"/>
        </w:pict>
      </w:r>
    </w:p>
    <w:bookmarkEnd w:id="20"/>
    <w:bookmarkStart w:id="22" w:name="الجزء-الأول-المفترقات-العظمى-السبع"/>
    <w:p>
      <w:pPr>
        <w:pStyle w:val="1"/>
      </w:pPr>
      <w:r>
        <w:t xml:space="preserve">🗺️ الجزء الأول: المفترقات العظمى السبع</w:t>
      </w:r>
    </w:p>
    <w:bookmarkStart w:id="21" w:name="Xb2b2f991056dda7fa6d3ede8e8e7e93a718caf2"/>
    <w:p>
      <w:pPr>
        <w:pStyle w:val="2"/>
      </w:pPr>
      <w:r>
        <w:rPr>
          <w:i/>
          <w:iCs/>
        </w:rPr>
        <w:t xml:space="preserve">(حيث تلتقي المسارات الهرمونية · العصبية · الأيضية · المناعية فعلياً)</w:t>
      </w:r>
    </w:p>
    <w:tbl>
      <w:tblPr>
        <w:tblStyle w:val="Table"/>
        <w:tblW w:type="pct" w:w="5000"/>
        <w:jc w:val="left"/>
        <w:tblLayout w:type="fixed"/>
        <w:tblLook w:firstRow="1" w:lastRow="0" w:firstColumn="0" w:lastColumn="0" w:noHBand="0" w:noVBand="0" w:val="0020"/>
      </w:tblPr>
      <w:tblGrid>
        <w:gridCol w:w="1320"/>
        <w:gridCol w:w="2132"/>
        <w:gridCol w:w="1726"/>
        <w:gridCol w:w="2741"/>
      </w:tblGrid>
      <w:tr>
        <w:trPr>
          <w:tblHeader w:val="on"/>
        </w:trPr>
        <w:tc>
          <w:tcPr/>
          <w:p>
            <w:pPr>
              <w:pStyle w:val="Compact"/>
              <w:jc w:val="left"/>
            </w:pPr>
            <w:r>
              <w:rPr>
                <w:b/>
                <w:bCs/>
              </w:rPr>
              <w:t xml:space="preserve">المفترق</w:t>
            </w:r>
          </w:p>
        </w:tc>
        <w:tc>
          <w:tcPr/>
          <w:p>
            <w:pPr>
              <w:pStyle w:val="Compact"/>
              <w:jc w:val="left"/>
            </w:pPr>
            <w:r>
              <w:rPr>
                <w:b/>
                <w:bCs/>
              </w:rPr>
              <w:t xml:space="preserve">الموقع التشريحي</w:t>
            </w:r>
          </w:p>
        </w:tc>
        <w:tc>
          <w:tcPr/>
          <w:p>
            <w:pPr>
              <w:pStyle w:val="Compact"/>
              <w:jc w:val="left"/>
            </w:pPr>
            <w:r>
              <w:rPr>
                <w:b/>
                <w:bCs/>
              </w:rPr>
              <w:t xml:space="preserve">نقطة التقاء</w:t>
            </w:r>
          </w:p>
        </w:tc>
        <w:tc>
          <w:tcPr/>
          <w:p>
            <w:pPr>
              <w:pStyle w:val="Compact"/>
              <w:jc w:val="left"/>
            </w:pPr>
            <w:r>
              <w:rPr>
                <w:b/>
                <w:bCs/>
              </w:rPr>
              <w:t xml:space="preserve">الجزيء/الإشارة الرئيسية</w:t>
            </w:r>
          </w:p>
        </w:tc>
      </w:tr>
      <w:tr>
        <w:tc>
          <w:tcPr/>
          <w:p>
            <w:pPr>
              <w:pStyle w:val="Compact"/>
              <w:jc w:val="left"/>
            </w:pPr>
            <w:r>
              <w:rPr>
                <w:b/>
                <w:bCs/>
              </w:rPr>
              <w:t xml:space="preserve">1. غرفة الحرب الوطائية</w:t>
            </w:r>
          </w:p>
        </w:tc>
        <w:tc>
          <w:tcPr/>
          <w:p>
            <w:pPr>
              <w:pStyle w:val="Compact"/>
              <w:jc w:val="left"/>
            </w:pPr>
            <w:r>
              <w:t xml:space="preserve">الوطاء والنخامية</w:t>
            </w:r>
          </w:p>
        </w:tc>
        <w:tc>
          <w:tcPr/>
          <w:p>
            <w:pPr>
              <w:pStyle w:val="Compact"/>
              <w:jc w:val="left"/>
            </w:pPr>
            <w:r>
              <w:t xml:space="preserve">يلتقي CRH (هرمون عصبي) + كيسببتين (مستشعر أيضي للبتين) + IL-1β/IL-6 (سيتوكينات مناعية) + الدوبامين/GABA (نواقل عصبية) على نفس الخلايا العصبية لقيادة محور HPA وHPG.</w:t>
            </w:r>
          </w:p>
        </w:tc>
        <w:tc>
          <w:tcPr/>
          <w:p>
            <w:pPr>
              <w:pStyle w:val="Compact"/>
              <w:jc w:val="left"/>
            </w:pPr>
            <w:r>
              <w:rPr>
                <w:b/>
                <w:bCs/>
              </w:rPr>
              <w:t xml:space="preserve">مستقبل CRH / خلية GnRH</w:t>
            </w:r>
          </w:p>
        </w:tc>
      </w:tr>
      <w:tr>
        <w:tc>
          <w:tcPr/>
          <w:p>
            <w:pPr>
              <w:pStyle w:val="Compact"/>
              <w:jc w:val="left"/>
            </w:pPr>
            <w:r>
              <w:rPr>
                <w:b/>
                <w:bCs/>
              </w:rPr>
              <w:t xml:space="preserve">2. مفترق التريبتوفان</w:t>
            </w:r>
          </w:p>
        </w:tc>
        <w:tc>
          <w:tcPr/>
          <w:p>
            <w:pPr>
              <w:pStyle w:val="Compact"/>
              <w:jc w:val="left"/>
            </w:pPr>
            <w:r>
              <w:t xml:space="preserve">الكبد، الدماغ، البلاعم</w:t>
            </w:r>
          </w:p>
        </w:tc>
        <w:tc>
          <w:tcPr/>
          <w:p>
            <w:pPr>
              <w:pStyle w:val="Compact"/>
              <w:jc w:val="left"/>
            </w:pPr>
            <w:r>
              <w:t xml:space="preserve">يجب على التريبتوفان أن يختار: (أ) مسار السيروتونين → ميلاتونين/5-HT (ناقل عصبي)، أو (ب) مسار الكينورينين → NAD⁺ (أيضي) + حمض الكينولينيك (مُحفز سام لـ NMDA). يفرض IFN-γ من الخلايا المناعية المفترق نحو ب.</w:t>
            </w:r>
          </w:p>
        </w:tc>
        <w:tc>
          <w:tcPr/>
          <w:p>
            <w:pPr>
              <w:pStyle w:val="Compact"/>
              <w:jc w:val="left"/>
            </w:pPr>
            <w:r>
              <w:rPr>
                <w:b/>
                <w:bCs/>
              </w:rPr>
              <w:t xml:space="preserve">إنزيمات IDO/TDO</w:t>
            </w:r>
          </w:p>
        </w:tc>
      </w:tr>
      <w:tr>
        <w:tc>
          <w:tcPr/>
          <w:p>
            <w:pPr>
              <w:pStyle w:val="Compact"/>
              <w:jc w:val="left"/>
            </w:pPr>
            <w:r>
              <w:rPr>
                <w:b/>
                <w:bCs/>
              </w:rPr>
              <w:t xml:space="preserve">3. التقاء الجهاز الودي</w:t>
            </w:r>
          </w:p>
        </w:tc>
        <w:tc>
          <w:tcPr/>
          <w:p>
            <w:pPr>
              <w:pStyle w:val="Compact"/>
              <w:jc w:val="left"/>
            </w:pPr>
            <w:r>
              <w:t xml:space="preserve">النخام الكظري والأعضاء المستهدفة</w:t>
            </w:r>
          </w:p>
        </w:tc>
        <w:tc>
          <w:tcPr/>
          <w:p>
            <w:pPr>
              <w:pStyle w:val="Compact"/>
              <w:jc w:val="left"/>
            </w:pPr>
            <w:r>
              <w:t xml:space="preserve">الخلية العصبية الودية قبل العقدية تُفرز</w:t>
            </w:r>
            <w:r>
              <w:t xml:space="preserve"> </w:t>
            </w:r>
            <w:r>
              <w:rPr>
                <w:b/>
                <w:bCs/>
              </w:rPr>
              <w:t xml:space="preserve">ACh</w:t>
            </w:r>
            <w:r>
              <w:t xml:space="preserve"> </w:t>
            </w:r>
            <w:r>
              <w:t xml:space="preserve">(ناقل عصبي) على خلايا الكرومافين → تُفرز</w:t>
            </w:r>
            <w:r>
              <w:t xml:space="preserve"> </w:t>
            </w:r>
            <w:r>
              <w:rPr>
                <w:b/>
                <w:bCs/>
              </w:rPr>
              <w:t xml:space="preserve">الإبينفرين/النورإبينفرين</w:t>
            </w:r>
            <w:r>
              <w:t xml:space="preserve"> </w:t>
            </w:r>
            <w:r>
              <w:t xml:space="preserve">(هرمونات) في الدم → تُصيب مستقبلات β-adrenergic على الخلايا الكبدية (تحلل الجليكوجين)، والخلايا الدهنية (تحلل الدهون)، والخلايا اللمفاوية (تعديل مناعي).</w:t>
            </w:r>
          </w:p>
        </w:tc>
        <w:tc>
          <w:tcPr/>
          <w:p>
            <w:pPr>
              <w:pStyle w:val="Compact"/>
              <w:jc w:val="left"/>
            </w:pPr>
            <w:r>
              <w:rPr>
                <w:b/>
                <w:bCs/>
              </w:rPr>
              <w:t xml:space="preserve">تيrosine hydroxylase / مستقبل β-adrenergic</w:t>
            </w:r>
          </w:p>
        </w:tc>
      </w:tr>
      <w:tr>
        <w:tc>
          <w:tcPr/>
          <w:p>
            <w:pPr>
              <w:pStyle w:val="Compact"/>
              <w:jc w:val="left"/>
            </w:pPr>
            <w:r>
              <w:rPr>
                <w:b/>
                <w:bCs/>
              </w:rPr>
              <w:t xml:space="preserve">4. ربط الإنسولين-mTOR</w:t>
            </w:r>
          </w:p>
        </w:tc>
        <w:tc>
          <w:tcPr/>
          <w:p>
            <w:pPr>
              <w:pStyle w:val="Compact"/>
              <w:jc w:val="left"/>
            </w:pPr>
            <w:r>
              <w:t xml:space="preserve">غشاء الخلية → سيتوبلازم</w:t>
            </w:r>
          </w:p>
        </w:tc>
        <w:tc>
          <w:tcPr/>
          <w:p>
            <w:pPr>
              <w:pStyle w:val="Compact"/>
              <w:jc w:val="left"/>
            </w:pPr>
            <w:r>
              <w:t xml:space="preserve">مستقبل الإنسولين (هرموني) + مستشعرات الأحماض الأمينية (أيضية) + إشارة مستقبل الخلية التائية (مناعية) + عوامل النمو تُنشّط جميعها</w:t>
            </w:r>
            <w:r>
              <w:t xml:space="preserve"> </w:t>
            </w:r>
            <w:r>
              <w:rPr>
                <w:b/>
                <w:bCs/>
              </w:rPr>
              <w:t xml:space="preserve">mTORC1</w:t>
            </w:r>
            <w:r>
              <w:t xml:space="preserve"> </w:t>
            </w:r>
            <w:r>
              <w:t xml:space="preserve">لتقرر:</w:t>
            </w:r>
            <w:r>
              <w:t xml:space="preserve"> </w:t>
            </w:r>
            <w:r>
              <w:t xml:space="preserve">“</w:t>
            </w:r>
            <w:r>
              <w:t xml:space="preserve">نبني عضلات؟ نتقسم؟ نخزن دهون؟ نصبح خلية تائية فعالة؟</w:t>
            </w:r>
            <w:r>
              <w:t xml:space="preserve">”</w:t>
            </w:r>
          </w:p>
        </w:tc>
        <w:tc>
          <w:tcPr/>
          <w:p>
            <w:pPr>
              <w:pStyle w:val="Compact"/>
              <w:jc w:val="left"/>
            </w:pPr>
            <w:r>
              <w:rPr>
                <w:b/>
                <w:bCs/>
              </w:rPr>
              <w:t xml:space="preserve">مجمع mTORC1 / Rheb-GTPase</w:t>
            </w:r>
          </w:p>
        </w:tc>
      </w:tr>
      <w:tr>
        <w:tc>
          <w:tcPr/>
          <w:p>
            <w:pPr>
              <w:pStyle w:val="Compact"/>
              <w:jc w:val="left"/>
            </w:pPr>
            <w:r>
              <w:rPr>
                <w:b/>
                <w:bCs/>
              </w:rPr>
              <w:t xml:space="preserve">5. جسر الاستقلاب المبهم</w:t>
            </w:r>
          </w:p>
        </w:tc>
        <w:tc>
          <w:tcPr/>
          <w:p>
            <w:pPr>
              <w:pStyle w:val="Compact"/>
              <w:jc w:val="left"/>
            </w:pPr>
            <w:r>
              <w:t xml:space="preserve">العصب المبهم → الطحال/الكبد/الأمعاء</w:t>
            </w:r>
          </w:p>
        </w:tc>
        <w:tc>
          <w:tcPr/>
          <w:p>
            <w:pPr>
              <w:pStyle w:val="Compact"/>
              <w:jc w:val="left"/>
            </w:pPr>
            <w:r>
              <w:t xml:space="preserve">العصب المبهم يُفرز</w:t>
            </w:r>
            <w:r>
              <w:t xml:space="preserve"> </w:t>
            </w:r>
            <w:r>
              <w:rPr>
                <w:b/>
                <w:bCs/>
              </w:rPr>
              <w:t xml:space="preserve">ACh</w:t>
            </w:r>
            <w:r>
              <w:t xml:space="preserve"> </w:t>
            </w:r>
            <w:r>
              <w:t xml:space="preserve">(ناقل عصبي) → يرتبط</w:t>
            </w:r>
            <w:r>
              <w:t xml:space="preserve"> </w:t>
            </w:r>
            <w:r>
              <w:rPr>
                <w:b/>
                <w:bCs/>
              </w:rPr>
              <w:t xml:space="preserve">بمستقبل α7 nicotinic ACh</w:t>
            </w:r>
            <w:r>
              <w:t xml:space="preserve"> </w:t>
            </w:r>
            <w:r>
              <w:t xml:space="preserve">على البلاعم → يحجب NF-κB → يُوقف إطلاق TNF-α/IL-6. هذا هو التحكم العصبي المباشر عن بُعد في الالتهاب.</w:t>
            </w:r>
          </w:p>
        </w:tc>
        <w:tc>
          <w:tcPr/>
          <w:p>
            <w:pPr>
              <w:pStyle w:val="Compact"/>
              <w:jc w:val="left"/>
            </w:pPr>
            <w:r>
              <w:rPr>
                <w:b/>
                <w:bCs/>
              </w:rPr>
              <w:t xml:space="preserve">α7 nAChR / قمع JAK-STAT</w:t>
            </w:r>
          </w:p>
        </w:tc>
      </w:tr>
      <w:tr>
        <w:tc>
          <w:tcPr/>
          <w:p>
            <w:pPr>
              <w:pStyle w:val="Compact"/>
              <w:jc w:val="left"/>
            </w:pPr>
            <w:r>
              <w:rPr>
                <w:b/>
                <w:bCs/>
              </w:rPr>
              <w:t xml:space="preserve">6. الحاضنة المعوية-الدماغية-المناعية</w:t>
            </w:r>
          </w:p>
        </w:tc>
        <w:tc>
          <w:tcPr/>
          <w:p>
            <w:pPr>
              <w:pStyle w:val="Compact"/>
              <w:jc w:val="left"/>
            </w:pPr>
            <w:r>
              <w:t xml:space="preserve">الظهارة المعوية والألياف المبهمية الواردة</w:t>
            </w:r>
          </w:p>
        </w:tc>
        <w:tc>
          <w:tcPr/>
          <w:p>
            <w:pPr>
              <w:pStyle w:val="Compact"/>
              <w:jc w:val="left"/>
            </w:pPr>
            <w:r>
              <w:t xml:space="preserve">الميكروبيوم المعوي يُخمّر الألياف →</w:t>
            </w:r>
            <w:r>
              <w:t xml:space="preserve"> </w:t>
            </w:r>
            <w:r>
              <w:rPr>
                <w:b/>
                <w:bCs/>
              </w:rPr>
              <w:t xml:space="preserve">SCFAs</w:t>
            </w:r>
            <w:r>
              <w:t xml:space="preserve"> </w:t>
            </w:r>
            <w:r>
              <w:t xml:space="preserve">(بيوتيرات، بروبيونات — أيضية) → (أ) تُغذي خلايا القولون، (ب) تُحفّز</w:t>
            </w:r>
            <w:r>
              <w:t xml:space="preserve"> </w:t>
            </w:r>
            <w:r>
              <w:rPr>
                <w:b/>
                <w:bCs/>
              </w:rPr>
              <w:t xml:space="preserve">GLP-1/PYY</w:t>
            </w:r>
            <w:r>
              <w:t xml:space="preserve"> </w:t>
            </w:r>
            <w:r>
              <w:t xml:space="preserve">(هرمونية)، (ج) تُنشّط</w:t>
            </w:r>
            <w:r>
              <w:t xml:space="preserve"> </w:t>
            </w:r>
            <w:r>
              <w:rPr>
                <w:b/>
                <w:bCs/>
              </w:rPr>
              <w:t xml:space="preserve">الألياف المبهمية الواردة</w:t>
            </w:r>
            <w:r>
              <w:t xml:space="preserve"> </w:t>
            </w:r>
            <w:r>
              <w:t xml:space="preserve">(عصبية)، (د) تُحفّز</w:t>
            </w:r>
            <w:r>
              <w:t xml:space="preserve"> </w:t>
            </w:r>
            <w:r>
              <w:rPr>
                <w:b/>
                <w:bCs/>
              </w:rPr>
              <w:t xml:space="preserve">خلايا Treg</w:t>
            </w:r>
            <w:r>
              <w:t xml:space="preserve"> </w:t>
            </w:r>
            <w:r>
              <w:t xml:space="preserve">(مناعية) في بقع بير.</w:t>
            </w:r>
          </w:p>
        </w:tc>
        <w:tc>
          <w:tcPr/>
          <w:p>
            <w:pPr>
              <w:pStyle w:val="Compact"/>
              <w:jc w:val="left"/>
            </w:pPr>
            <w:r>
              <w:rPr>
                <w:b/>
                <w:bCs/>
              </w:rPr>
              <w:t xml:space="preserve">مستقبلات GPR41/43 / FFAR2/3</w:t>
            </w:r>
          </w:p>
        </w:tc>
      </w:tr>
      <w:tr>
        <w:tc>
          <w:tcPr/>
          <w:p>
            <w:pPr>
              <w:pStyle w:val="Compact"/>
              <w:jc w:val="left"/>
            </w:pPr>
            <w:r>
              <w:rPr>
                <w:b/>
                <w:bCs/>
              </w:rPr>
              <w:t xml:space="preserve">7. السفارة الدهنية</w:t>
            </w:r>
          </w:p>
        </w:tc>
        <w:tc>
          <w:tcPr/>
          <w:p>
            <w:pPr>
              <w:pStyle w:val="Compact"/>
              <w:jc w:val="left"/>
            </w:pPr>
            <w:r>
              <w:t xml:space="preserve">النسيج الدهني الأبيض</w:t>
            </w:r>
          </w:p>
        </w:tc>
        <w:tc>
          <w:tcPr/>
          <w:p>
            <w:pPr>
              <w:pStyle w:val="Compact"/>
              <w:jc w:val="left"/>
            </w:pPr>
            <w:r>
              <w:t xml:space="preserve">يلتقي اللبتين (هرمون) + الإنسولين (هرمون) + TNF-α/IL-6 (مناعية) + نهايات عصبية للجهاز الودي تُفرز NE (ناقل عصبي) جميعها على نفس الخلية الدهنية لتنظيم تحلل الدهون عبر</w:t>
            </w:r>
            <w:r>
              <w:t xml:space="preserve"> </w:t>
            </w:r>
            <w:r>
              <w:rPr>
                <w:b/>
                <w:bCs/>
              </w:rPr>
              <w:t xml:space="preserve">HSL</w:t>
            </w:r>
            <w:r>
              <w:t xml:space="preserve"> </w:t>
            </w:r>
            <w:r>
              <w:t xml:space="preserve">و</w:t>
            </w:r>
            <w:r>
              <w:rPr>
                <w:b/>
                <w:bCs/>
              </w:rPr>
              <w:t xml:space="preserve">Perilipin</w:t>
            </w:r>
            <w:r>
              <w:t xml:space="preserve">.</w:t>
            </w:r>
          </w:p>
        </w:tc>
        <w:tc>
          <w:tcPr/>
          <w:p>
            <w:pPr>
              <w:pStyle w:val="Compact"/>
              <w:jc w:val="left"/>
            </w:pPr>
            <w:r>
              <w:rPr>
                <w:b/>
                <w:bCs/>
              </w:rPr>
              <w:t xml:space="preserve">Hormone-sensitive lipase / β3-AR</w:t>
            </w:r>
          </w:p>
        </w:tc>
      </w:tr>
    </w:tbl>
    <w:p>
      <w:r>
        <w:pict>
          <v:rect style="width:0;height:1.5pt" o:hralign="center" o:hrstd="t" o:hr="t"/>
        </w:pict>
      </w:r>
    </w:p>
    <w:bookmarkEnd w:id="21"/>
    <w:bookmarkEnd w:id="22"/>
    <w:bookmarkStart w:id="52" w:name="Xece4f3afa743c62471808278bcbce34ce2ebbdc"/>
    <w:p>
      <w:pPr>
        <w:pStyle w:val="1"/>
      </w:pPr>
      <w:r>
        <w:t xml:space="preserve">🏛️ الجزء الثاني: ممالك الأربع — مسارات السيناريو الفرعية</w:t>
      </w:r>
    </w:p>
    <w:p>
      <w:r>
        <w:pict>
          <v:rect style="width:0;height:1.5pt" o:hralign="center" o:hrstd="t" o:hr="t"/>
        </w:pict>
      </w:r>
    </w:p>
    <w:bookmarkStart w:id="30" w:name="المملكة-الأولى-الإمبراطورية-الهرمونية"/>
    <w:p>
      <w:pPr>
        <w:pStyle w:val="2"/>
      </w:pPr>
      <w:r>
        <w:t xml:space="preserve">🔥 المملكة الأولى: الإمبراطورية الهرمونية</w:t>
      </w:r>
    </w:p>
    <w:p>
      <w:pPr>
        <w:pStyle w:val="FirstParagraph"/>
      </w:pPr>
      <w:r>
        <w:rPr>
          <w:i/>
          <w:iCs/>
        </w:rPr>
        <w:t xml:space="preserve">الغدد الصماء كقلاع-مدن، تُفرز فرسان-رسول في مجرى الدم</w:t>
      </w:r>
    </w:p>
    <w:bookmarkStart w:id="23" w:name="السيناريو-أ-محور-hpa-قيادة-الإجهاد"/>
    <w:p>
      <w:pPr>
        <w:pStyle w:val="3"/>
      </w:pPr>
      <w:r>
        <w:rPr>
          <w:b/>
          <w:bCs/>
        </w:rPr>
        <w:t xml:space="preserve">السيناريو أ: محور HPA —</w:t>
      </w:r>
      <w:r>
        <w:rPr>
          <w:b/>
          <w:bCs/>
        </w:rPr>
        <w:t xml:space="preserve"> </w:t>
      </w:r>
      <w:r>
        <w:rPr>
          <w:b/>
          <w:bCs/>
        </w:rPr>
        <w:t xml:space="preserve">“</w:t>
      </w:r>
      <w:r>
        <w:rPr>
          <w:b/>
          <w:bCs/>
        </w:rPr>
        <w:t xml:space="preserve">قيادة الإجهاد</w:t>
      </w:r>
      <w:r>
        <w:rPr>
          <w:b/>
          <w:bCs/>
        </w:rPr>
        <w:t xml:space="preserve">”</w:t>
      </w:r>
    </w:p>
    <w:p>
      <w:pPr>
        <w:pStyle w:val="FirstParagraph"/>
      </w:pPr>
      <w:r>
        <w:rPr>
          <w:b/>
          <w:bCs/>
        </w:rPr>
        <w:t xml:space="preserve">الطبيعي:</w:t>
      </w:r>
      <w:r>
        <w:t xml:space="preserve"> </w:t>
      </w:r>
      <w:r>
        <w:t xml:space="preserve">تهديد حاد → الوطاء يُفرز CRH → النخامية تُفرز ACTH → القشرة الكظرية تُفرز الكورتيزول → الكورتيزول يرفع سكر الدم (تكوين جلوكوز جديد)، يكبت الالتهاب، يُحسّن تكوين الذاكرة (الحصين)، و</w:t>
      </w:r>
      <w:r>
        <w:rPr>
          <w:b/>
          <w:bCs/>
        </w:rPr>
        <w:t xml:space="preserve">يُغذّي سلبياً</w:t>
      </w:r>
      <w:r>
        <w:t xml:space="preserve"> </w:t>
      </w:r>
      <w:r>
        <w:t xml:space="preserve">لإيقاف المحور.</w:t>
      </w:r>
    </w:p>
    <w:p>
      <w:pPr>
        <w:pStyle w:val="a0"/>
      </w:pPr>
      <w:r>
        <w:rPr>
          <w:b/>
          <w:bCs/>
        </w:rPr>
        <w:t xml:space="preserve">المرضي:</w:t>
      </w:r>
      <w:r>
        <w:t xml:space="preserve"> </w:t>
      </w:r>
      <w:r>
        <w:t xml:space="preserve">إجهاد نفسي مزمن أو متلازمة كوشينغ → الكورتيزول يبقى مرتفعاً → ضمور الحصين (فقدان الذاكرة)، تراكم دهون الحشاء، مقاومة الإنسولين، كبت مناعي (عدوى متكررة)، و</w:t>
      </w:r>
      <w:r>
        <w:rPr>
          <w:b/>
          <w:bCs/>
        </w:rPr>
        <w:t xml:space="preserve">مقاومة مستقبلات الكورتيكوستيرويد</w:t>
      </w:r>
      <w:r>
        <w:t xml:space="preserve"> </w:t>
      </w:r>
      <w:r>
        <w:t xml:space="preserve">(يبقى الالتهاب مفارقةً رغم ارتفاع الكورتيزول).</w:t>
      </w:r>
    </w:p>
    <w:bookmarkEnd w:id="23"/>
    <w:bookmarkStart w:id="24" w:name="السيناريو-ب-محور-الدرقية-الفرن-الأيضي"/>
    <w:p>
      <w:pPr>
        <w:pStyle w:val="3"/>
      </w:pPr>
      <w:r>
        <w:rPr>
          <w:b/>
          <w:bCs/>
        </w:rPr>
        <w:t xml:space="preserve">السيناريو ب: محور الدرقية —</w:t>
      </w:r>
      <w:r>
        <w:rPr>
          <w:b/>
          <w:bCs/>
        </w:rPr>
        <w:t xml:space="preserve"> </w:t>
      </w:r>
      <w:r>
        <w:rPr>
          <w:b/>
          <w:bCs/>
        </w:rPr>
        <w:t xml:space="preserve">“</w:t>
      </w:r>
      <w:r>
        <w:rPr>
          <w:b/>
          <w:bCs/>
        </w:rPr>
        <w:t xml:space="preserve">الفرن الأيضي</w:t>
      </w:r>
      <w:r>
        <w:rPr>
          <w:b/>
          <w:bCs/>
        </w:rPr>
        <w:t xml:space="preserve">”</w:t>
      </w:r>
    </w:p>
    <w:p>
      <w:pPr>
        <w:pStyle w:val="FirstParagraph"/>
      </w:pPr>
      <w:r>
        <w:rPr>
          <w:b/>
          <w:bCs/>
        </w:rPr>
        <w:t xml:space="preserve">الطبيعي:</w:t>
      </w:r>
      <w:r>
        <w:t xml:space="preserve"> </w:t>
      </w:r>
      <w:r>
        <w:t xml:space="preserve">TRH → TSH → T4 (هرمون أولي) → T3 (نشط) عبر إنزيمات إزالة اليود (D1، D2، D3). يرتبط T3 بالمستقبلات النووية، يُعلي Na⁺/K⁺-ATPase، يزيد تكوين الميتوكوندريا والمعدل الأيضي الأساسي. التغذية الراجعة السلبية تحافظ على TSH في المدى.</w:t>
      </w:r>
    </w:p>
    <w:p>
      <w:pPr>
        <w:pStyle w:val="a0"/>
      </w:pPr>
      <w:r>
        <w:rPr>
          <w:b/>
          <w:bCs/>
        </w:rPr>
        <w:t xml:space="preserve">المرضي:</w:t>
      </w:r>
      <w:r>
        <w:t xml:space="preserve"> </w:t>
      </w:r>
      <w:r>
        <w:t xml:space="preserve">-</w:t>
      </w:r>
      <w:r>
        <w:t xml:space="preserve"> </w:t>
      </w:r>
      <w:r>
        <w:rPr>
          <w:b/>
          <w:bCs/>
        </w:rPr>
        <w:t xml:space="preserve">داء غريفز:</w:t>
      </w:r>
      <w:r>
        <w:t xml:space="preserve"> </w:t>
      </w:r>
      <w:r>
        <w:t xml:space="preserve">أجسام مضادة TSAb مناعية (الجهاز المناعي يهاجم) تُحفّز مستقبل TSH → فرط نشاط الدرقية → تسرع قلب، فقدان وزن، قلق، بروز العينين (تنشيط الخلايا الليفية المحجريّة بتفاعل متقاطع مع TSH-R).</w:t>
      </w:r>
      <w:r>
        <w:t xml:space="preserve"> </w:t>
      </w:r>
      <w:r>
        <w:t xml:space="preserve">-</w:t>
      </w:r>
      <w:r>
        <w:t xml:space="preserve"> </w:t>
      </w:r>
      <w:r>
        <w:rPr>
          <w:b/>
          <w:bCs/>
        </w:rPr>
        <w:t xml:space="preserve">هاشيموتو:</w:t>
      </w:r>
      <w:r>
        <w:t xml:space="preserve"> </w:t>
      </w:r>
      <w:r>
        <w:t xml:space="preserve">تدمير مناعي بأضداد anti-TPO/anti-thyroglobulin → قصور الدرقية → وذمة مخاطية، بطء قلب، اكتئاب، عدم تحمل البرد.</w:t>
      </w:r>
      <w:r>
        <w:t xml:space="preserve"> </w:t>
      </w:r>
      <w:r>
        <w:t xml:space="preserve">-</w:t>
      </w:r>
      <w:r>
        <w:t xml:space="preserve"> </w:t>
      </w:r>
      <w:r>
        <w:rPr>
          <w:b/>
          <w:bCs/>
        </w:rPr>
        <w:t xml:space="preserve">الدرقية المرضية السليمة:</w:t>
      </w:r>
      <w:r>
        <w:t xml:space="preserve"> </w:t>
      </w:r>
      <w:r>
        <w:t xml:space="preserve">السيتوكينات (IL-6) تكبت D1/D2 وتزيد D3 (مُبطّل) → T3 منخفض، TSH طبيعي أثناء المرض الحرج.</w:t>
      </w:r>
    </w:p>
    <w:bookmarkEnd w:id="24"/>
    <w:bookmarkStart w:id="25" w:name="السيناريو-ج-محور-hpg-بوابة-التكاثر"/>
    <w:p>
      <w:pPr>
        <w:pStyle w:val="3"/>
      </w:pPr>
      <w:r>
        <w:rPr>
          <w:b/>
          <w:bCs/>
        </w:rPr>
        <w:t xml:space="preserve">السيناريو ج: محور HPG —</w:t>
      </w:r>
      <w:r>
        <w:rPr>
          <w:b/>
          <w:bCs/>
        </w:rPr>
        <w:t xml:space="preserve"> </w:t>
      </w:r>
      <w:r>
        <w:rPr>
          <w:b/>
          <w:bCs/>
        </w:rPr>
        <w:t xml:space="preserve">“</w:t>
      </w:r>
      <w:r>
        <w:rPr>
          <w:b/>
          <w:bCs/>
        </w:rPr>
        <w:t xml:space="preserve">بوابة التكاثر</w:t>
      </w:r>
      <w:r>
        <w:rPr>
          <w:b/>
          <w:bCs/>
        </w:rPr>
        <w:t xml:space="preserve">”</w:t>
      </w:r>
    </w:p>
    <w:p>
      <w:pPr>
        <w:pStyle w:val="FirstParagraph"/>
      </w:pPr>
      <w:r>
        <w:rPr>
          <w:b/>
          <w:bCs/>
        </w:rPr>
        <w:t xml:space="preserve">الطبيعي:</w:t>
      </w:r>
      <w:r>
        <w:t xml:space="preserve"> </w:t>
      </w:r>
      <w:r>
        <w:t xml:space="preserve">الكيسببتين (مُنشّط بالبتين — إشارة كفاية أيضية) يُحفّز نبضية GnRH → LH/FSH → الستيرويدات الجنسية (إستراديول/تيستوستيرون). الستيرويدات تُغذّي الوطاء سلبياً. النبضية هي كل شيء — GnRH المستمر يُوقف المحور.</w:t>
      </w:r>
    </w:p>
    <w:p>
      <w:pPr>
        <w:pStyle w:val="a0"/>
      </w:pPr>
      <w:r>
        <w:rPr>
          <w:b/>
          <w:bCs/>
        </w:rPr>
        <w:t xml:space="preserve">المرضي:</w:t>
      </w:r>
      <w:r>
        <w:t xml:space="preserve"> </w:t>
      </w:r>
      <w:r>
        <w:t xml:space="preserve">-</w:t>
      </w:r>
      <w:r>
        <w:t xml:space="preserve"> </w:t>
      </w:r>
      <w:r>
        <w:rPr>
          <w:b/>
          <w:bCs/>
        </w:rPr>
        <w:t xml:space="preserve">قصور الغدد التناسلية ناقص الهرمونات:</w:t>
      </w:r>
      <w:r>
        <w:t xml:space="preserve"> </w:t>
      </w:r>
      <w:r>
        <w:t xml:space="preserve">بتين منخفض (فقدان الشهية، ممارسة زائدة، جوع) → سكوت الكيسببتين → لا بلوغ/انقطاع الطمث.</w:t>
      </w:r>
      <w:r>
        <w:t xml:space="preserve"> </w:t>
      </w:r>
      <w:r>
        <w:t xml:space="preserve">-</w:t>
      </w:r>
      <w:r>
        <w:t xml:space="preserve"> </w:t>
      </w:r>
      <w:r>
        <w:rPr>
          <w:b/>
          <w:bCs/>
        </w:rPr>
        <w:t xml:space="preserve">متلازمة تكيس المبايض (PCOS):</w:t>
      </w:r>
      <w:r>
        <w:t xml:space="preserve"> </w:t>
      </w:r>
      <w:r>
        <w:t xml:space="preserve">فرط إنسولين (أيضي) + فرط أندروجين → اضطراب نبضية GnRH → عدم إباضة، مبايض كيسية، متلازمة الأيض.</w:t>
      </w:r>
      <w:r>
        <w:t xml:space="preserve"> </w:t>
      </w:r>
      <w:r>
        <w:t xml:space="preserve">-</w:t>
      </w:r>
      <w:r>
        <w:t xml:space="preserve"> </w:t>
      </w:r>
      <w:r>
        <w:rPr>
          <w:b/>
          <w:bCs/>
        </w:rPr>
        <w:t xml:space="preserve">سن اليأس:</w:t>
      </w:r>
      <w:r>
        <w:t xml:space="preserve"> </w:t>
      </w:r>
      <w:r>
        <w:t xml:space="preserve">استنفاد الجريبات المبيضية (شيخوخة خلوية) → فقدان التغذية الراجعة السلبية → ارتفاع FSH/LH → هبات ساخنة (عدم استقرار الوطاء)، هشاشة عظام، تحول خطر قلبي وعائي.</w:t>
      </w:r>
    </w:p>
    <w:bookmarkEnd w:id="25"/>
    <w:bookmarkStart w:id="26" w:name="X700a5e7be3695eaa82f5f06999850850bfcbce0"/>
    <w:p>
      <w:pPr>
        <w:pStyle w:val="3"/>
      </w:pPr>
      <w:r>
        <w:rPr>
          <w:b/>
          <w:bCs/>
        </w:rPr>
        <w:t xml:space="preserve">السيناريو د: الإنسولين-الغلوكاجون —</w:t>
      </w:r>
      <w:r>
        <w:rPr>
          <w:b/>
          <w:bCs/>
        </w:rPr>
        <w:t xml:space="preserve"> </w:t>
      </w:r>
      <w:r>
        <w:rPr>
          <w:b/>
          <w:bCs/>
        </w:rPr>
        <w:t xml:space="preserve">“</w:t>
      </w:r>
      <w:r>
        <w:rPr>
          <w:b/>
          <w:bCs/>
        </w:rPr>
        <w:t xml:space="preserve">صراع الجلوكوز</w:t>
      </w:r>
      <w:r>
        <w:rPr>
          <w:b/>
          <w:bCs/>
        </w:rPr>
        <w:t xml:space="preserve">”</w:t>
      </w:r>
    </w:p>
    <w:p>
      <w:pPr>
        <w:pStyle w:val="FirstParagraph"/>
      </w:pPr>
      <w:r>
        <w:rPr>
          <w:b/>
          <w:bCs/>
        </w:rPr>
        <w:t xml:space="preserve">الطبيعي:</w:t>
      </w:r>
      <w:r>
        <w:t xml:space="preserve"> </w:t>
      </w:r>
      <w:r>
        <w:t xml:space="preserve">بعد الأكل → خلايا بيتا تستشعر الجلوكوز → إفراز الإنسولين → انتقال GLUT4 (عضل/دهن)، تخليق جليكوجين، تكون دهون، تخليق بروتين. الصيام → خلايا ألفا تُفرز الغلوكاجون → تحلل جليكوجين كبدي + تكوين جلوكوز جديد. هما يين ويانغ.</w:t>
      </w:r>
    </w:p>
    <w:p>
      <w:pPr>
        <w:pStyle w:val="a0"/>
      </w:pPr>
      <w:r>
        <w:rPr>
          <w:b/>
          <w:bCs/>
        </w:rPr>
        <w:t xml:space="preserve">المرضي:</w:t>
      </w:r>
      <w:r>
        <w:t xml:space="preserve"> </w:t>
      </w:r>
      <w:r>
        <w:t xml:space="preserve">-</w:t>
      </w:r>
      <w:r>
        <w:t xml:space="preserve"> </w:t>
      </w:r>
      <w:r>
        <w:rPr>
          <w:b/>
          <w:bCs/>
        </w:rPr>
        <w:t xml:space="preserve">السكري النوع 1:</w:t>
      </w:r>
      <w:r>
        <w:t xml:space="preserve"> </w:t>
      </w:r>
      <w:r>
        <w:t xml:space="preserve">تدمير مناعي لخلايا بيتا (خيانة الجهاز المناعي) → نقص إنسولين مطلق → فرط سكر الدم، تكوين كيتونات (نقص إشارة الإنسولين المضادة لتحلل الدهون)، حماض كيتوني سكري.</w:t>
      </w:r>
      <w:r>
        <w:t xml:space="preserve"> </w:t>
      </w:r>
      <w:r>
        <w:t xml:space="preserve">-</w:t>
      </w:r>
      <w:r>
        <w:t xml:space="preserve"> </w:t>
      </w:r>
      <w:r>
        <w:rPr>
          <w:b/>
          <w:bCs/>
        </w:rPr>
        <w:t xml:space="preserve">السكري النوع 2:</w:t>
      </w:r>
      <w:r>
        <w:t xml:space="preserve"> </w:t>
      </w:r>
      <w:r>
        <w:t xml:space="preserve">مقاومة الإنسولين (التهاب أيضي، سمية دهنية، سمية سكرية) + فشل خلوي بيتا نسبي → فرط إنسولين في البداية، ثم استنفاد. GLUT4 يتجاهل طرق الإنسولين.</w:t>
      </w:r>
    </w:p>
    <w:bookmarkEnd w:id="26"/>
    <w:bookmarkStart w:id="27" w:name="السيناريو-هـ-محور-gh-igf-1-مصنع-النمو"/>
    <w:p>
      <w:pPr>
        <w:pStyle w:val="3"/>
      </w:pPr>
      <w:r>
        <w:rPr>
          <w:b/>
          <w:bCs/>
        </w:rPr>
        <w:t xml:space="preserve">السيناريو هـ: محور GH-IGF-1 —</w:t>
      </w:r>
      <w:r>
        <w:rPr>
          <w:b/>
          <w:bCs/>
        </w:rPr>
        <w:t xml:space="preserve"> </w:t>
      </w:r>
      <w:r>
        <w:rPr>
          <w:b/>
          <w:bCs/>
        </w:rPr>
        <w:t xml:space="preserve">“</w:t>
      </w:r>
      <w:r>
        <w:rPr>
          <w:b/>
          <w:bCs/>
        </w:rPr>
        <w:t xml:space="preserve">مصنع النمو</w:t>
      </w:r>
      <w:r>
        <w:rPr>
          <w:b/>
          <w:bCs/>
        </w:rPr>
        <w:t xml:space="preserve">”</w:t>
      </w:r>
    </w:p>
    <w:p>
      <w:pPr>
        <w:pStyle w:val="FirstParagraph"/>
      </w:pPr>
      <w:r>
        <w:rPr>
          <w:b/>
          <w:bCs/>
        </w:rPr>
        <w:t xml:space="preserve">الطبيعي:</w:t>
      </w:r>
      <w:r>
        <w:t xml:space="preserve"> </w:t>
      </w:r>
      <w:r>
        <w:t xml:space="preserve">GH من النخامية → الكبد ينتج IGF-1 → يُعزز تكاثر الخلايا الغضروفية، التمثيل البنائي للبروتين، تحلل الدهون. GH نفسه مُحلّل للدهون ومضاد للإنسولين.</w:t>
      </w:r>
    </w:p>
    <w:p>
      <w:pPr>
        <w:pStyle w:val="a0"/>
      </w:pPr>
      <w:r>
        <w:rPr>
          <w:b/>
          <w:bCs/>
        </w:rPr>
        <w:t xml:space="preserve">المرضي:</w:t>
      </w:r>
      <w:r>
        <w:t xml:space="preserve"> </w:t>
      </w:r>
      <w:r>
        <w:t xml:space="preserve">-</w:t>
      </w:r>
      <w:r>
        <w:t xml:space="preserve"> </w:t>
      </w:r>
      <w:r>
        <w:rPr>
          <w:b/>
          <w:bCs/>
        </w:rPr>
        <w:t xml:space="preserve">العملقة:</w:t>
      </w:r>
      <w:r>
        <w:t xml:space="preserve"> </w:t>
      </w:r>
      <w:r>
        <w:t xml:space="preserve">ورم GH نافر → فائض IGF-1 → عملقة (إن كان قبل إغلاق الصفيحة النموية) أو تضخّم طرفي، تضخم أعضاء، مقاومة إنسولين، انقطاع تنفس أثناء النوم، زوائد قولونية.</w:t>
      </w:r>
      <w:r>
        <w:t xml:space="preserve"> </w:t>
      </w:r>
      <w:r>
        <w:t xml:space="preserve">-</w:t>
      </w:r>
      <w:r>
        <w:t xml:space="preserve"> </w:t>
      </w:r>
      <w:r>
        <w:rPr>
          <w:b/>
          <w:bCs/>
        </w:rPr>
        <w:t xml:space="preserve">نقص GH:</w:t>
      </w:r>
      <w:r>
        <w:t xml:space="preserve"> </w:t>
      </w:r>
      <w:r>
        <w:t xml:space="preserve">طفولة → قزامة نخامية. سن البلوغ → زيادة دهون الحشاء، نقص كثافة العظام، إرهاق.</w:t>
      </w:r>
    </w:p>
    <w:bookmarkEnd w:id="27"/>
    <w:bookmarkStart w:id="28" w:name="السيناريو-و-raas-حماة-الضغط"/>
    <w:p>
      <w:pPr>
        <w:pStyle w:val="3"/>
      </w:pPr>
      <w:r>
        <w:rPr>
          <w:b/>
          <w:bCs/>
        </w:rPr>
        <w:t xml:space="preserve">السيناريو و: RAAS —</w:t>
      </w:r>
      <w:r>
        <w:rPr>
          <w:b/>
          <w:bCs/>
        </w:rPr>
        <w:t xml:space="preserve"> </w:t>
      </w:r>
      <w:r>
        <w:rPr>
          <w:b/>
          <w:bCs/>
        </w:rPr>
        <w:t xml:space="preserve">“</w:t>
      </w:r>
      <w:r>
        <w:rPr>
          <w:b/>
          <w:bCs/>
        </w:rPr>
        <w:t xml:space="preserve">حماة الضغط</w:t>
      </w:r>
      <w:r>
        <w:rPr>
          <w:b/>
          <w:bCs/>
        </w:rPr>
        <w:t xml:space="preserve">”</w:t>
      </w:r>
    </w:p>
    <w:p>
      <w:pPr>
        <w:pStyle w:val="FirstParagraph"/>
      </w:pPr>
      <w:r>
        <w:rPr>
          <w:b/>
          <w:bCs/>
        </w:rPr>
        <w:t xml:space="preserve">الطبيعي:</w:t>
      </w:r>
      <w:r>
        <w:t xml:space="preserve"> </w:t>
      </w:r>
      <w:r>
        <w:t xml:space="preserve">انخفاض ال灌注 الكلوي → الرينين يحول الأنجيوتنسينوجين → أنجيوتنسين I → ACE (رئة/بطانة) → أنجيوتنسين II → ألدوستيرون (احتفاظ Na⁺/H₂O، فقدان K⁺)، تضيق أوعية. يستعيد ضغط الدم و filtration الكبيبي.</w:t>
      </w:r>
    </w:p>
    <w:p>
      <w:pPr>
        <w:pStyle w:val="a0"/>
      </w:pPr>
      <w:r>
        <w:rPr>
          <w:b/>
          <w:bCs/>
        </w:rPr>
        <w:t xml:space="preserve">المرضي:</w:t>
      </w:r>
      <w:r>
        <w:t xml:space="preserve"> </w:t>
      </w:r>
      <w:r>
        <w:t xml:space="preserve">-</w:t>
      </w:r>
      <w:r>
        <w:t xml:space="preserve"> </w:t>
      </w:r>
      <w:r>
        <w:rPr>
          <w:b/>
          <w:bCs/>
        </w:rPr>
        <w:t xml:space="preserve">فرط الألدوستيرونism الأولي (كون):</w:t>
      </w:r>
      <w:r>
        <w:t xml:space="preserve"> </w:t>
      </w:r>
      <w:r>
        <w:t xml:space="preserve">ورم نافر للألدوستيرون ذاتياً → ارتفاع ضغط الدم + نقص بوتاسيوم + قلوية أيضية (فقدان H⁺). الرينين مكبوت.</w:t>
      </w:r>
      <w:r>
        <w:t xml:space="preserve"> </w:t>
      </w:r>
      <w:r>
        <w:t xml:space="preserve">-</w:t>
      </w:r>
      <w:r>
        <w:t xml:space="preserve"> </w:t>
      </w:r>
      <w:r>
        <w:rPr>
          <w:b/>
          <w:bCs/>
        </w:rPr>
        <w:t xml:space="preserve">فرط نشاط ACE/AT1R:</w:t>
      </w:r>
      <w:r>
        <w:t xml:space="preserve"> </w:t>
      </w:r>
      <w:r>
        <w:t xml:space="preserve">ارتفاع ضغط دم مزمن، إعادة تشكيل قلبي، تصلب كبيبي. مثبطات ACE تحجب هذا.</w:t>
      </w:r>
    </w:p>
    <w:bookmarkEnd w:id="28"/>
    <w:bookmarkStart w:id="29" w:name="Xf837f58f9a25e83277182b7ff3f6a8527e87705"/>
    <w:p>
      <w:pPr>
        <w:pStyle w:val="3"/>
      </w:pPr>
      <w:r>
        <w:rPr>
          <w:b/>
          <w:bCs/>
        </w:rPr>
        <w:t xml:space="preserve">السيناريو ز: محور الأديبوكينات —</w:t>
      </w:r>
      <w:r>
        <w:rPr>
          <w:b/>
          <w:bCs/>
        </w:rPr>
        <w:t xml:space="preserve"> </w:t>
      </w:r>
      <w:r>
        <w:rPr>
          <w:b/>
          <w:bCs/>
        </w:rPr>
        <w:t xml:space="preserve">“</w:t>
      </w:r>
      <w:r>
        <w:rPr>
          <w:b/>
          <w:bCs/>
        </w:rPr>
        <w:t xml:space="preserve">سفارة النسيج الدهني</w:t>
      </w:r>
      <w:r>
        <w:rPr>
          <w:b/>
          <w:bCs/>
        </w:rPr>
        <w:t xml:space="preserve">”</w:t>
      </w:r>
    </w:p>
    <w:p>
      <w:pPr>
        <w:pStyle w:val="FirstParagraph"/>
      </w:pPr>
      <w:r>
        <w:rPr>
          <w:b/>
          <w:bCs/>
        </w:rPr>
        <w:t xml:space="preserve">الطبيعي:</w:t>
      </w:r>
      <w:r>
        <w:t xml:space="preserve"> </w:t>
      </w:r>
      <w:r>
        <w:t xml:space="preserve">اللبتين (شبع، إذن بالتكاثر، يُحفّز مناعة Th1)، الأديبونيكتين (تحسين حساسية الإنسولين، مضاد للالتهاب، منشّط AMPK)، الريزستين (معدّل التهابي). متناسب مع كتلة الدهون لكن حساس للإنسولين.</w:t>
      </w:r>
    </w:p>
    <w:p>
      <w:pPr>
        <w:pStyle w:val="a0"/>
      </w:pPr>
      <w:r>
        <w:rPr>
          <w:b/>
          <w:bCs/>
        </w:rPr>
        <w:t xml:space="preserve">المرضي:</w:t>
      </w:r>
      <w:r>
        <w:t xml:space="preserve"> </w:t>
      </w:r>
      <w:r>
        <w:t xml:space="preserve">-</w:t>
      </w:r>
      <w:r>
        <w:t xml:space="preserve"> </w:t>
      </w:r>
      <w:r>
        <w:rPr>
          <w:b/>
          <w:bCs/>
        </w:rPr>
        <w:t xml:space="preserve">السمنة:</w:t>
      </w:r>
      <w:r>
        <w:t xml:space="preserve"> </w:t>
      </w:r>
      <w:r>
        <w:t xml:space="preserve">فرط لبتين لكن</w:t>
      </w:r>
      <w:r>
        <w:t xml:space="preserve"> </w:t>
      </w:r>
      <w:r>
        <w:rPr>
          <w:b/>
          <w:bCs/>
        </w:rPr>
        <w:t xml:space="preserve">مقاومة لبتين</w:t>
      </w:r>
      <w:r>
        <w:t xml:space="preserve"> </w:t>
      </w:r>
      <w:r>
        <w:t xml:space="preserve">(الوطاء يتجاهل الإشارة) → سمنة + قصور تناسلي مفارق + ميل مناعي التهابي Th1. ينخفض الأديبونيكتين.</w:t>
      </w:r>
      <w:r>
        <w:t xml:space="preserve"> </w:t>
      </w:r>
      <w:r>
        <w:t xml:space="preserve">“</w:t>
      </w:r>
      <w:r>
        <w:t xml:space="preserve">جوع في بحر من السعرات</w:t>
      </w:r>
      <w:r>
        <w:t xml:space="preserve">”</w:t>
      </w:r>
      <w:r>
        <w:t xml:space="preserve">.</w:t>
      </w:r>
    </w:p>
    <w:p>
      <w:r>
        <w:pict>
          <v:rect style="width:0;height:1.5pt" o:hralign="center" o:hrstd="t" o:hr="t"/>
        </w:pict>
      </w:r>
    </w:p>
    <w:bookmarkEnd w:id="29"/>
    <w:bookmarkEnd w:id="30"/>
    <w:bookmarkStart w:id="37" w:name="المملكة-الثانية-حلقة-النواقل-العصبية"/>
    <w:p>
      <w:pPr>
        <w:pStyle w:val="2"/>
      </w:pPr>
      <w:r>
        <w:t xml:space="preserve">⚡ المملكة الثانية: حلقة النواقل العصبية</w:t>
      </w:r>
    </w:p>
    <w:p>
      <w:pPr>
        <w:pStyle w:val="FirstParagraph"/>
      </w:pPr>
      <w:r>
        <w:rPr>
          <w:i/>
          <w:iCs/>
        </w:rPr>
        <w:t xml:space="preserve">همسات كهربائية وعواصف كيميائية تتسابق عبر الوصلات المشبكية</w:t>
      </w:r>
    </w:p>
    <w:bookmarkStart w:id="31" w:name="Xe1479932c62ca14cec16cabb6b4822230b01c36"/>
    <w:p>
      <w:pPr>
        <w:pStyle w:val="3"/>
      </w:pPr>
      <w:r>
        <w:rPr>
          <w:b/>
          <w:bCs/>
        </w:rPr>
        <w:t xml:space="preserve">السيناريو أ: الثالوث المونوأميني — DA · 5-HT · NE</w:t>
      </w:r>
    </w:p>
    <w:p>
      <w:pPr>
        <w:pStyle w:val="FirstParagraph"/>
      </w:pPr>
      <w:r>
        <w:rPr>
          <w:b/>
          <w:bCs/>
        </w:rPr>
        <w:t xml:space="preserve">الطبيعي:</w:t>
      </w:r>
      <w:r>
        <w:t xml:space="preserve"> </w:t>
      </w:r>
      <w:r>
        <w:t xml:space="preserve">-</w:t>
      </w:r>
      <w:r>
        <w:t xml:space="preserve"> </w:t>
      </w:r>
      <w:r>
        <w:rPr>
          <w:b/>
          <w:bCs/>
        </w:rPr>
        <w:t xml:space="preserve">الدوبامين:</w:t>
      </w:r>
      <w:r>
        <w:t xml:space="preserve"> </w:t>
      </w:r>
      <w:r>
        <w:t xml:space="preserve">المسار السوداء-المخططي (حركة)، الوسطي-الحافةي (المكافأة/التحفيز)، الوسطي-القشري (الوظائف التنفيذية)، السريري-النفقي (تثبيط البرولاكتين).</w:t>
      </w:r>
      <w:r>
        <w:t xml:space="preserve"> </w:t>
      </w:r>
      <w:r>
        <w:t xml:space="preserve">-</w:t>
      </w:r>
      <w:r>
        <w:t xml:space="preserve"> </w:t>
      </w:r>
      <w:r>
        <w:rPr>
          <w:b/>
          <w:bCs/>
        </w:rPr>
        <w:t xml:space="preserve">السيروتونين (5-HT):</w:t>
      </w:r>
      <w:r>
        <w:t xml:space="preserve"> </w:t>
      </w:r>
      <w:r>
        <w:t xml:space="preserve">أنوية الرابه → المزاج، النوم، الشهية، حركة الأمعاء. يُخلّق من التريبتوفان (حمض أميني غذائي).</w:t>
      </w:r>
      <w:r>
        <w:t xml:space="preserve"> </w:t>
      </w:r>
      <w:r>
        <w:t xml:space="preserve">-</w:t>
      </w:r>
      <w:r>
        <w:t xml:space="preserve"> </w:t>
      </w:r>
      <w:r>
        <w:rPr>
          <w:b/>
          <w:bCs/>
        </w:rPr>
        <w:t xml:space="preserve">النورإبينفرين:</w:t>
      </w:r>
      <w:r>
        <w:t xml:space="preserve"> </w:t>
      </w:r>
      <w:r>
        <w:t xml:space="preserve">اللocus coeruleus → الاستثارة، الانتباه، النبرة الودية.</w:t>
      </w:r>
    </w:p>
    <w:p>
      <w:pPr>
        <w:pStyle w:val="a0"/>
      </w:pPr>
      <w:r>
        <w:rPr>
          <w:b/>
          <w:bCs/>
        </w:rPr>
        <w:t xml:space="preserve">المرضي:</w:t>
      </w:r>
      <w:r>
        <w:t xml:space="preserve"> </w:t>
      </w:r>
      <w:r>
        <w:t xml:space="preserve">-</w:t>
      </w:r>
      <w:r>
        <w:t xml:space="preserve"> </w:t>
      </w:r>
      <w:r>
        <w:rPr>
          <w:b/>
          <w:bCs/>
        </w:rPr>
        <w:t xml:space="preserve">باركنسون:</w:t>
      </w:r>
      <w:r>
        <w:t xml:space="preserve"> </w:t>
      </w:r>
      <w:r>
        <w:t xml:space="preserve">موت الخلايا العصبية الدوبامينية في المادة السوداء (خلل في المجمع I الميتوكوندري + أجسام ليوي α-synuclein) → بطء الحركة، صلابة، رعاش في الراحة. L-DOPA (سليف أيضي) هو العلاج.</w:t>
      </w:r>
      <w:r>
        <w:t xml:space="preserve"> </w:t>
      </w:r>
      <w:r>
        <w:t xml:space="preserve">-</w:t>
      </w:r>
      <w:r>
        <w:t xml:space="preserve"> </w:t>
      </w:r>
      <w:r>
        <w:rPr>
          <w:b/>
          <w:bCs/>
        </w:rPr>
        <w:t xml:space="preserve">الاكتئاب الشديد:</w:t>
      </w:r>
      <w:r>
        <w:t xml:space="preserve"> </w:t>
      </w:r>
      <w:r>
        <w:t xml:space="preserve">استنزاف السيروتونين/NE +</w:t>
      </w:r>
      <w:r>
        <w:t xml:space="preserve"> </w:t>
      </w:r>
      <w:r>
        <w:rPr>
          <w:b/>
          <w:bCs/>
        </w:rPr>
        <w:t xml:space="preserve">تحويل التريبتوفان المُحفّز بالالتهاب</w:t>
      </w:r>
      <w:r>
        <w:t xml:space="preserve"> </w:t>
      </w:r>
      <w:r>
        <w:t xml:space="preserve">(إنزيم IDO مُنشّط بالسيتوكينات) → سيروتونين أقل، حمض كينولينيك عصبي سام أكثر. مثبطات SSRI تحجب الاسترداد؛ الالتهاب يمكن أن يسبب مقاومة للعلاج.</w:t>
      </w:r>
      <w:r>
        <w:t xml:space="preserve"> </w:t>
      </w:r>
      <w:r>
        <w:t xml:space="preserve">-</w:t>
      </w:r>
      <w:r>
        <w:t xml:space="preserve"> </w:t>
      </w:r>
      <w:r>
        <w:rPr>
          <w:b/>
          <w:bCs/>
        </w:rPr>
        <w:t xml:space="preserve">الفصام:</w:t>
      </w:r>
      <w:r>
        <w:t xml:space="preserve"> </w:t>
      </w:r>
      <w:r>
        <w:t xml:space="preserve">فرط نشاط DA في الوسطي-الحافةي (أعراض إيجابية — هلوسات) + نقص وظيفة DA في الوسطي-القشري (أعراض سلبية — لا مبالاة). نقص وظيفة NMDA (الجلوتامات) أيضاً محوري.</w:t>
      </w:r>
    </w:p>
    <w:bookmarkEnd w:id="31"/>
    <w:bookmarkStart w:id="32" w:name="السيناريو-ب-الجهاز-الكوليني-ach"/>
    <w:p>
      <w:pPr>
        <w:pStyle w:val="3"/>
      </w:pPr>
      <w:r>
        <w:rPr>
          <w:b/>
          <w:bCs/>
        </w:rPr>
        <w:t xml:space="preserve">السيناريو ب: الجهاز الكوليني — ACh</w:t>
      </w:r>
    </w:p>
    <w:p>
      <w:pPr>
        <w:pStyle w:val="FirstParagraph"/>
      </w:pPr>
      <w:r>
        <w:rPr>
          <w:b/>
          <w:bCs/>
        </w:rPr>
        <w:t xml:space="preserve">الطبيعي:</w:t>
      </w:r>
      <w:r>
        <w:t xml:space="preserve"> </w:t>
      </w:r>
      <w:r>
        <w:t xml:space="preserve">القاعدة الأمامية للدماغ → القشرة/الحصين (الذاكرة). الجهاز العصبي اللاودي →</w:t>
      </w:r>
      <w:r>
        <w:t xml:space="preserve"> </w:t>
      </w:r>
      <w:r>
        <w:t xml:space="preserve">“</w:t>
      </w:r>
      <w:r>
        <w:t xml:space="preserve">الراحة والهضم</w:t>
      </w:r>
      <w:r>
        <w:t xml:space="preserve">”</w:t>
      </w:r>
      <w:r>
        <w:t xml:space="preserve">. الوصلة العصبية العضلية → انقباض العضلة. العصب المبهم → إشارات مضادة للالتهاب عبر α7 nAChR.</w:t>
      </w:r>
    </w:p>
    <w:p>
      <w:pPr>
        <w:pStyle w:val="a0"/>
      </w:pPr>
      <w:r>
        <w:rPr>
          <w:b/>
          <w:bCs/>
        </w:rPr>
        <w:t xml:space="preserve">المرضي:</w:t>
      </w:r>
      <w:r>
        <w:t xml:space="preserve"> </w:t>
      </w:r>
      <w:r>
        <w:t xml:space="preserve">-</w:t>
      </w:r>
      <w:r>
        <w:t xml:space="preserve"> </w:t>
      </w:r>
      <w:r>
        <w:rPr>
          <w:b/>
          <w:bCs/>
        </w:rPr>
        <w:t xml:space="preserve">ألزهايمر:</w:t>
      </w:r>
      <w:r>
        <w:t xml:space="preserve"> </w:t>
      </w:r>
      <w:r>
        <w:t xml:space="preserve">موت الخلايا العصبية الكولينية في النواة القاعدية لمينرت → فقدان ذاكرة شديد. مثبطات أسيتايل كولين استريز (دونيبيزيل) علاج عرضي.</w:t>
      </w:r>
      <w:r>
        <w:t xml:space="preserve"> </w:t>
      </w:r>
      <w:r>
        <w:t xml:space="preserve">-</w:t>
      </w:r>
      <w:r>
        <w:t xml:space="preserve"> </w:t>
      </w:r>
      <w:r>
        <w:rPr>
          <w:b/>
          <w:bCs/>
        </w:rPr>
        <w:t xml:space="preserve">الوهن العضلي الوبيل:</w:t>
      </w:r>
      <w:r>
        <w:t xml:space="preserve"> </w:t>
      </w:r>
      <w:r>
        <w:t xml:space="preserve">أجسام مضادة مناعية لمستقبل ACh → ضعف عضلي، إرهاق سريع. كبت مناعي + بيريدوستيجمين (مثبط AChE).</w:t>
      </w:r>
      <w:r>
        <w:t xml:space="preserve"> </w:t>
      </w:r>
      <w:r>
        <w:t xml:space="preserve">-</w:t>
      </w:r>
      <w:r>
        <w:t xml:space="preserve"> </w:t>
      </w:r>
      <w:r>
        <w:rPr>
          <w:b/>
          <w:bCs/>
        </w:rPr>
        <w:t xml:space="preserve">التسمم بالمبيدات العضوية الفوسفورية:</w:t>
      </w:r>
      <w:r>
        <w:t xml:space="preserve"> </w:t>
      </w:r>
      <w:r>
        <w:t xml:space="preserve">تثبيط غير قابل للانعكاس لـ AChE → متلازمة SLUDGE (إفراز لعاب، دمع، تبول، إخراج، ضيق هضمي، تقيؤ) → أزمة كولينية.</w:t>
      </w:r>
    </w:p>
    <w:bookmarkEnd w:id="32"/>
    <w:bookmarkStart w:id="33" w:name="X125c77425b75dab07e7bbeeed27ba1f97f09e6b"/>
    <w:p>
      <w:pPr>
        <w:pStyle w:val="3"/>
      </w:pPr>
      <w:r>
        <w:rPr>
          <w:b/>
          <w:bCs/>
        </w:rPr>
        <w:t xml:space="preserve">السيناريو ج: الجلوتامات/GABA — ميزان الت excitation والتثبيط</w:t>
      </w:r>
    </w:p>
    <w:p>
      <w:pPr>
        <w:pStyle w:val="FirstParagraph"/>
      </w:pPr>
      <w:r>
        <w:rPr>
          <w:b/>
          <w:bCs/>
        </w:rPr>
        <w:t xml:space="preserve">الطبيعي:</w:t>
      </w:r>
      <w:r>
        <w:t xml:space="preserve"> </w:t>
      </w:r>
      <w:r>
        <w:t xml:space="preserve">الجلوتامات (مُحفّز، 90% من خلايا الدماغ) عبر مستقبلات NMDA/AMPA → تعلم، مرونة. GABA (مثبط) عبر GABA-A (قناة Cl⁻) / GABA-B (بروتين G) → التحكم بالقلق، منع النوبات. التوازن هو كل شيء.</w:t>
      </w:r>
    </w:p>
    <w:p>
      <w:pPr>
        <w:pStyle w:val="a0"/>
      </w:pPr>
      <w:r>
        <w:rPr>
          <w:b/>
          <w:bCs/>
        </w:rPr>
        <w:t xml:space="preserve">المرضي:</w:t>
      </w:r>
      <w:r>
        <w:t xml:space="preserve"> </w:t>
      </w:r>
      <w:r>
        <w:t xml:space="preserve">-</w:t>
      </w:r>
      <w:r>
        <w:t xml:space="preserve"> </w:t>
      </w:r>
      <w:r>
        <w:rPr>
          <w:b/>
          <w:bCs/>
        </w:rPr>
        <w:t xml:space="preserve">السمية الت excitatory:</w:t>
      </w:r>
      <w:r>
        <w:t xml:space="preserve"> </w:t>
      </w:r>
      <w:r>
        <w:t xml:space="preserve">سكتة/صدمة → فيضان الجلوتامات في الفضاء خارج الخلوي → فرط تنشيط NMDA → دخول Ca²⁺ → إجهاد ميتوكوندري → موت خلية. الخلايا العصبية تموت من التحفيز الزائد.</w:t>
      </w:r>
      <w:r>
        <w:t xml:space="preserve"> </w:t>
      </w:r>
      <w:r>
        <w:t xml:space="preserve">-</w:t>
      </w:r>
      <w:r>
        <w:t xml:space="preserve"> </w:t>
      </w:r>
      <w:r>
        <w:rPr>
          <w:b/>
          <w:bCs/>
        </w:rPr>
        <w:t xml:space="preserve">الصرع:</w:t>
      </w:r>
      <w:r>
        <w:t xml:space="preserve"> </w:t>
      </w:r>
      <w:r>
        <w:t xml:space="preserve">اختلال نحو الت excitation (GABA↓ أو Glutamate↑) → إطلاق عصبي متزامن → نوبات. مُحفّزات GABA-A (البنزوديازيبينات) خط أول.</w:t>
      </w:r>
      <w:r>
        <w:t xml:space="preserve"> </w:t>
      </w:r>
      <w:r>
        <w:t xml:space="preserve">-</w:t>
      </w:r>
      <w:r>
        <w:t xml:space="preserve"> </w:t>
      </w:r>
      <w:r>
        <w:rPr>
          <w:b/>
          <w:bCs/>
        </w:rPr>
        <w:t xml:space="preserve">الغيبوبة الكبدية:</w:t>
      </w:r>
      <w:r>
        <w:t xml:space="preserve"> </w:t>
      </w:r>
      <w:r>
        <w:t xml:space="preserve">فشل كبدي → ارتفاع الأمونيا (نفاية أيضية) → يضعف امتصاص الجلوتامات في الخلايا النجمية → تزيد الستيرويدات العصبية الشبيهة بـ GABA → غيبوبة.</w:t>
      </w:r>
    </w:p>
    <w:bookmarkEnd w:id="33"/>
    <w:bookmarkStart w:id="34" w:name="X6a4c349158171e2fc341483c6f0b4f2f9c42e64"/>
    <w:p>
      <w:pPr>
        <w:pStyle w:val="3"/>
      </w:pPr>
      <w:r>
        <w:rPr>
          <w:b/>
          <w:bCs/>
        </w:rPr>
        <w:t xml:space="preserve">السيناريو د: نظام ال endocannabinoid —</w:t>
      </w:r>
      <w:r>
        <w:rPr>
          <w:b/>
          <w:bCs/>
        </w:rPr>
        <w:t xml:space="preserve"> </w:t>
      </w:r>
      <w:r>
        <w:rPr>
          <w:b/>
          <w:bCs/>
        </w:rPr>
        <w:t xml:space="preserve">“</w:t>
      </w:r>
      <w:r>
        <w:rPr>
          <w:b/>
          <w:bCs/>
        </w:rPr>
        <w:t xml:space="preserve">الهمس الرجعي</w:t>
      </w:r>
      <w:r>
        <w:rPr>
          <w:b/>
          <w:bCs/>
        </w:rPr>
        <w:t xml:space="preserve">”</w:t>
      </w:r>
    </w:p>
    <w:p>
      <w:pPr>
        <w:pStyle w:val="FirstParagraph"/>
      </w:pPr>
      <w:r>
        <w:rPr>
          <w:b/>
          <w:bCs/>
        </w:rPr>
        <w:t xml:space="preserve">الطبيعي:</w:t>
      </w:r>
      <w:r>
        <w:t xml:space="preserve"> </w:t>
      </w:r>
      <w:r>
        <w:t xml:space="preserve">الأناناميد و 2-AG يُخلّقان عند الطلب (لا يُخزّنان) من ليبيدات الغشاء. يسيران</w:t>
      </w:r>
      <w:r>
        <w:t xml:space="preserve"> </w:t>
      </w:r>
      <w:r>
        <w:rPr>
          <w:b/>
          <w:bCs/>
        </w:rPr>
        <w:t xml:space="preserve">رجوعياً</w:t>
      </w:r>
      <w:r>
        <w:t xml:space="preserve"> </w:t>
      </w:r>
      <w:r>
        <w:t xml:space="preserve">عبر المشابك (رجعي) لتثبيط إطلاق الناقل العصبي قبل المشبكي. ينظمان الشهية، الألم، المزاج، اندثار الذاكرة.</w:t>
      </w:r>
    </w:p>
    <w:p>
      <w:pPr>
        <w:pStyle w:val="a0"/>
      </w:pPr>
      <w:r>
        <w:rPr>
          <w:b/>
          <w:bCs/>
        </w:rPr>
        <w:t xml:space="preserve">المرضي:</w:t>
      </w:r>
      <w:r>
        <w:t xml:space="preserve"> </w:t>
      </w:r>
      <w:r>
        <w:t xml:space="preserve">-</w:t>
      </w:r>
      <w:r>
        <w:t xml:space="preserve"> </w:t>
      </w:r>
      <w:r>
        <w:rPr>
          <w:b/>
          <w:bCs/>
        </w:rPr>
        <w:t xml:space="preserve">متلازمة القيء الكانابينويدي:</w:t>
      </w:r>
      <w:r>
        <w:t xml:space="preserve"> </w:t>
      </w:r>
      <w:r>
        <w:t xml:space="preserve">استخدام THC مزمن → قيء مفارق. الاستحمام بالماء الساخن يُخففه (تفاعل وطائي TRPV1).</w:t>
      </w:r>
      <w:r>
        <w:t xml:space="preserve"> </w:t>
      </w:r>
      <w:r>
        <w:t xml:space="preserve">-</w:t>
      </w:r>
      <w:r>
        <w:t xml:space="preserve"> </w:t>
      </w:r>
      <w:r>
        <w:rPr>
          <w:b/>
          <w:bCs/>
        </w:rPr>
        <w:t xml:space="preserve">السمنة/متلازمة الأيض:</w:t>
      </w:r>
      <w:r>
        <w:t xml:space="preserve"> </w:t>
      </w:r>
      <w:r>
        <w:t xml:space="preserve">تنشيط CB1 يُعزز تكون الدهون. مضادات CB1 (ريمونابانت) سببت فقدان وزن لكن اكتئاب/انتحارية (حجب CB1 في الجهاز العصبي المركزي).</w:t>
      </w:r>
    </w:p>
    <w:bookmarkEnd w:id="34"/>
    <w:bookmarkStart w:id="35" w:name="Xd6d54d96d652715625fbaeade97b2fcd7977f55"/>
    <w:p>
      <w:pPr>
        <w:pStyle w:val="3"/>
      </w:pPr>
      <w:r>
        <w:rPr>
          <w:b/>
          <w:bCs/>
        </w:rPr>
        <w:t xml:space="preserve">السيناريو هـ: الببتيدات العصبية — الأوكسيتوسين، الفازوبريسين، المادة P</w:t>
      </w:r>
    </w:p>
    <w:p>
      <w:pPr>
        <w:pStyle w:val="FirstParagraph"/>
      </w:pPr>
      <w:r>
        <w:rPr>
          <w:b/>
          <w:bCs/>
        </w:rPr>
        <w:t xml:space="preserve">الطبيعي:</w:t>
      </w:r>
      <w:r>
        <w:t xml:space="preserve"> </w:t>
      </w:r>
      <w:r>
        <w:t xml:space="preserve">الأوكسيتوسين (ترابط، انقباض رحم، إخراج حليب). الفازوبريسين/ADH (احتفاظ بالماء، انقباض وعائي V1a، إدخال أكوابورين-2 كلوي V2). المادة P (نقل الألم، التهاب عصبي منشأ).</w:t>
      </w:r>
    </w:p>
    <w:p>
      <w:pPr>
        <w:pStyle w:val="a0"/>
      </w:pPr>
      <w:r>
        <w:rPr>
          <w:b/>
          <w:bCs/>
        </w:rPr>
        <w:t xml:space="preserve">المرضي:</w:t>
      </w:r>
      <w:r>
        <w:t xml:space="preserve"> </w:t>
      </w:r>
      <w:r>
        <w:t xml:space="preserve">-</w:t>
      </w:r>
      <w:r>
        <w:t xml:space="preserve"> </w:t>
      </w:r>
      <w:r>
        <w:rPr>
          <w:b/>
          <w:bCs/>
        </w:rPr>
        <w:t xml:space="preserve">السكري الكاذب:</w:t>
      </w:r>
      <w:r>
        <w:t xml:space="preserve"> </w:t>
      </w:r>
      <w:r>
        <w:t xml:space="preserve">نقص ADH (مركزي) أو مقاومة مستقبل V2 (كلوي) → بولية مفرطة، عطش مفرط، فرط صوديوم الدم.</w:t>
      </w:r>
      <w:r>
        <w:t xml:space="preserve"> </w:t>
      </w:r>
      <w:r>
        <w:t xml:space="preserve">-</w:t>
      </w:r>
      <w:r>
        <w:t xml:space="preserve"> </w:t>
      </w:r>
      <w:r>
        <w:rPr>
          <w:b/>
          <w:bCs/>
        </w:rPr>
        <w:t xml:space="preserve">SIADH:</w:t>
      </w:r>
      <w:r>
        <w:t xml:space="preserve"> </w:t>
      </w:r>
      <w:r>
        <w:t xml:space="preserve">فائض ADH (أورام، إصابة جهاز عصبي مركزي، SSRI) → احتفاظ بالماء، نقص صوديوم مخفف، وذمة دماغية.</w:t>
      </w:r>
      <w:r>
        <w:t xml:space="preserve"> </w:t>
      </w:r>
      <w:r>
        <w:t xml:space="preserve">-</w:t>
      </w:r>
      <w:r>
        <w:t xml:space="preserve"> </w:t>
      </w:r>
      <w:r>
        <w:rPr>
          <w:b/>
          <w:bCs/>
        </w:rPr>
        <w:t xml:space="preserve">الألم المزمن/الاكتئاب:</w:t>
      </w:r>
      <w:r>
        <w:t xml:space="preserve"> </w:t>
      </w:r>
      <w:r>
        <w:t xml:space="preserve">المادة P ومستقبلات neurokinin-1 تُدام الألم والضائقة العاطفية. السيتوكينات تزيد إطلاق المادة P.</w:t>
      </w:r>
    </w:p>
    <w:bookmarkEnd w:id="35"/>
    <w:bookmarkStart w:id="36" w:name="X68384c996720cc400de7697693d695e114a7f1b"/>
    <w:p>
      <w:pPr>
        <w:pStyle w:val="3"/>
      </w:pPr>
      <w:r>
        <w:rPr>
          <w:b/>
          <w:bCs/>
        </w:rPr>
        <w:t xml:space="preserve">السيناريو و: الإشارات البيورينية — ATP/أدينوسين</w:t>
      </w:r>
    </w:p>
    <w:p>
      <w:pPr>
        <w:pStyle w:val="FirstParagraph"/>
      </w:pPr>
      <w:r>
        <w:rPr>
          <w:b/>
          <w:bCs/>
        </w:rPr>
        <w:t xml:space="preserve">الطبيعي:</w:t>
      </w:r>
      <w:r>
        <w:t xml:space="preserve"> </w:t>
      </w:r>
      <w:r>
        <w:t xml:space="preserve">ATP يُطلق مشتركاً مع نواقل عصبية أخرى. ATP خارج الخلوي يعمل عبر P2X (قنوات أيونية) / P2Y (مستقبلات مزدوجة البروتين G) → نقل excitatory سريع، تواصل خلوي نجمي، كيمياء attractية للخلايا المناعية. الأدينوسين (منتج تحلل ATP) عبر A1/A2 → مثبط، مُعزز للنوم، مضاد للالتهاب.</w:t>
      </w:r>
    </w:p>
    <w:p>
      <w:pPr>
        <w:pStyle w:val="a0"/>
      </w:pPr>
      <w:r>
        <w:rPr>
          <w:b/>
          <w:bCs/>
        </w:rPr>
        <w:t xml:space="preserve">المرضي:</w:t>
      </w:r>
      <w:r>
        <w:t xml:space="preserve"> </w:t>
      </w:r>
      <w:r>
        <w:t xml:space="preserve">-</w:t>
      </w:r>
      <w:r>
        <w:t xml:space="preserve"> </w:t>
      </w:r>
      <w:r>
        <w:rPr>
          <w:b/>
          <w:bCs/>
        </w:rPr>
        <w:t xml:space="preserve">النقرس:</w:t>
      </w:r>
      <w:r>
        <w:t xml:space="preserve"> </w:t>
      </w:r>
      <w:r>
        <w:t xml:space="preserve">بلورات حمض البوليك (منتج نهائي لأيض البيورين) تُحفّز NLRP3 inflammasome في البلاعم → إطلاق IL-1β → التهاب مفصلي مبرح.</w:t>
      </w:r>
      <w:r>
        <w:t xml:space="preserve"> </w:t>
      </w:r>
      <w:r>
        <w:t xml:space="preserve">-</w:t>
      </w:r>
      <w:r>
        <w:t xml:space="preserve"> </w:t>
      </w:r>
      <w:r>
        <w:rPr>
          <w:b/>
          <w:bCs/>
        </w:rPr>
        <w:t xml:space="preserve">الإقفار:</w:t>
      </w:r>
      <w:r>
        <w:t xml:space="preserve"> </w:t>
      </w:r>
      <w:r>
        <w:t xml:space="preserve">إطلاق ATP هائل من الخلايا الميتة → تنشيط P2X7 على الخلايا الدبقية الصغيرة → NLRP3 inflammasome → التهاب عصبي.</w:t>
      </w:r>
      <w:r>
        <w:t xml:space="preserve"> </w:t>
      </w:r>
      <w:r>
        <w:t xml:space="preserve">-</w:t>
      </w:r>
      <w:r>
        <w:t xml:space="preserve"> </w:t>
      </w:r>
      <w:r>
        <w:rPr>
          <w:b/>
          <w:bCs/>
        </w:rPr>
        <w:t xml:space="preserve">اضطرابات النوم:</w:t>
      </w:r>
      <w:r>
        <w:t xml:space="preserve"> </w:t>
      </w:r>
      <w:r>
        <w:t xml:space="preserve">يتراكم الأدينوسين أثناء اليقظة (نفاية أيضية لاستهلاك ATP) → تثبيط A1 للخلايا العصبية المُستثارة. الكافيين يحجب A2A، يمنع هذا الضغط.</w:t>
      </w:r>
    </w:p>
    <w:p>
      <w:r>
        <w:pict>
          <v:rect style="width:0;height:1.5pt" o:hralign="center" o:hrstd="t" o:hr="t"/>
        </w:pict>
      </w:r>
    </w:p>
    <w:bookmarkEnd w:id="36"/>
    <w:bookmarkEnd w:id="37"/>
    <w:bookmarkStart w:id="44" w:name="المملكة-الثالثة-ال-forge-الأيضية"/>
    <w:p>
      <w:pPr>
        <w:pStyle w:val="2"/>
      </w:pPr>
      <w:r>
        <w:t xml:space="preserve">🔄 المملكة الثالثة: ال forge الأيضية</w:t>
      </w:r>
    </w:p>
    <w:p>
      <w:pPr>
        <w:pStyle w:val="FirstParagraph"/>
      </w:pPr>
      <w:r>
        <w:rPr>
          <w:i/>
          <w:iCs/>
        </w:rPr>
        <w:t xml:space="preserve">حيث تُحرق الجزيئات، وتُبنى، وتتحول في نيران التفاعل الإنزيمي</w:t>
      </w:r>
    </w:p>
    <w:bookmarkStart w:id="38" w:name="X7e1fa416e5160ae74ec2e37e466d9f3f7edb40f"/>
    <w:p>
      <w:pPr>
        <w:pStyle w:val="3"/>
      </w:pPr>
      <w:r>
        <w:rPr>
          <w:b/>
          <w:bCs/>
        </w:rPr>
        <w:t xml:space="preserve">السيناريو أ: أكسدة الجلوكوز — تحلل السكر → Krebs → سلسلة النقل الإلكتروني</w:t>
      </w:r>
    </w:p>
    <w:p>
      <w:pPr>
        <w:pStyle w:val="FirstParagraph"/>
      </w:pPr>
      <w:r>
        <w:rPr>
          <w:b/>
          <w:bCs/>
        </w:rPr>
        <w:t xml:space="preserve">الطبيعي:</w:t>
      </w:r>
      <w:r>
        <w:t xml:space="preserve"> </w:t>
      </w:r>
      <w:r>
        <w:t xml:space="preserve">الجلوكوز → بيروفات (سيتوبلازم) → أسيتيل-CoA ميتوكوندري → دورة Krebs → NADH/FADH₂ → سلسلة النقل الإلكتروني → تدرج بروتوني → ATP Synthase → ~36 ATP/جلوكوز. الأكسجين هو المستقبل النهائي للإلكترونات. نظيف، فعال.</w:t>
      </w:r>
    </w:p>
    <w:p>
      <w:pPr>
        <w:pStyle w:val="a0"/>
      </w:pPr>
      <w:r>
        <w:rPr>
          <w:b/>
          <w:bCs/>
        </w:rPr>
        <w:t xml:space="preserve">المرضي:</w:t>
      </w:r>
      <w:r>
        <w:t xml:space="preserve"> </w:t>
      </w:r>
      <w:r>
        <w:t xml:space="preserve">-</w:t>
      </w:r>
      <w:r>
        <w:t xml:space="preserve"> </w:t>
      </w:r>
      <w:r>
        <w:rPr>
          <w:b/>
          <w:bCs/>
        </w:rPr>
        <w:t xml:space="preserve">مرض الميتوكوندريا:</w:t>
      </w:r>
      <w:r>
        <w:t xml:space="preserve"> </w:t>
      </w:r>
      <w:r>
        <w:t xml:space="preserve">طفرات في المجمع I-V → حماض لبني، ضعف عضلي، تنكس عصبي، نوبات شبيهة بالسكتة (MELAS). لا يمكن إجراء الفسفرة التأكسدية.</w:t>
      </w:r>
      <w:r>
        <w:t xml:space="preserve"> </w:t>
      </w:r>
      <w:r>
        <w:t xml:space="preserve">-</w:t>
      </w:r>
      <w:r>
        <w:t xml:space="preserve"> </w:t>
      </w:r>
      <w:r>
        <w:rPr>
          <w:b/>
          <w:bCs/>
        </w:rPr>
        <w:t xml:space="preserve">السرطان (تأثير واربورغ):</w:t>
      </w:r>
      <w:r>
        <w:t xml:space="preserve"> </w:t>
      </w:r>
      <w:r>
        <w:t xml:space="preserve">حتى مع وجود الأكسجين، تفضل الأورام التحلل السكري الهوائي → إنتاج سريع للكتلة الحيوية، ROS أقل، بيئة حمضية. البيروفات → لاكتات بدلاً من دخول الميتوكوندريا.</w:t>
      </w:r>
      <w:r>
        <w:t xml:space="preserve"> </w:t>
      </w:r>
      <w:r>
        <w:t xml:space="preserve">-</w:t>
      </w:r>
      <w:r>
        <w:t xml:space="preserve"> </w:t>
      </w:r>
      <w:r>
        <w:rPr>
          <w:b/>
          <w:bCs/>
        </w:rPr>
        <w:t xml:space="preserve">الإنتان/الصدمة الإنتانية:</w:t>
      </w:r>
      <w:r>
        <w:t xml:space="preserve"> </w:t>
      </w:r>
      <w:r>
        <w:t xml:space="preserve">خلل وظيفي ميتوكوندري (</w:t>
      </w:r>
      <w:r>
        <w:t xml:space="preserve">“</w:t>
      </w:r>
      <w:r>
        <w:t xml:space="preserve">نقص الأكسجة الخلوي المرضي</w:t>
      </w:r>
      <w:r>
        <w:t xml:space="preserve">”</w:t>
      </w:r>
      <w:r>
        <w:t xml:space="preserve">) → الخلايا لا تستطيع استخدام الأكسجين رغم توصيل كافٍ → ارتفاع اللاكتات، انهيار ATP، فشل عضوي.</w:t>
      </w:r>
    </w:p>
    <w:bookmarkEnd w:id="38"/>
    <w:bookmarkStart w:id="39" w:name="Xc8885c9b58225e4d9db447df34b42a0d14f0302"/>
    <w:p>
      <w:pPr>
        <w:pStyle w:val="3"/>
      </w:pPr>
      <w:r>
        <w:rPr>
          <w:b/>
          <w:bCs/>
        </w:rPr>
        <w:t xml:space="preserve">السيناريو ب: أيض الدهون — β-أكسدة وتكوين الكيتونات</w:t>
      </w:r>
    </w:p>
    <w:p>
      <w:pPr>
        <w:pStyle w:val="FirstParagraph"/>
      </w:pPr>
      <w:r>
        <w:rPr>
          <w:b/>
          <w:bCs/>
        </w:rPr>
        <w:t xml:space="preserve">الطبيعي:</w:t>
      </w:r>
      <w:r>
        <w:t xml:space="preserve"> </w:t>
      </w:r>
      <w:r>
        <w:t xml:space="preserve">الصيام → HSL المُحفّز بالغلوكاجون/NE → أحماض دهنية → β-أكسدة ميتوكوندري → أسيتيل-CoA → إن كان الجلوكوز منخفضاً، يحول الكبد أسيتيل-CoA إلى</w:t>
      </w:r>
      <w:r>
        <w:t xml:space="preserve"> </w:t>
      </w:r>
      <w:r>
        <w:rPr>
          <w:b/>
          <w:bCs/>
        </w:rPr>
        <w:t xml:space="preserve">أجسام كيتونية</w:t>
      </w:r>
      <w:r>
        <w:t xml:space="preserve"> </w:t>
      </w:r>
      <w:r>
        <w:t xml:space="preserve">(BHB، AcAc) → وقود للدماغ/القلب أثناء الجوع.</w:t>
      </w:r>
    </w:p>
    <w:p>
      <w:pPr>
        <w:pStyle w:val="a0"/>
      </w:pPr>
      <w:r>
        <w:rPr>
          <w:b/>
          <w:bCs/>
        </w:rPr>
        <w:t xml:space="preserve">المرضي:</w:t>
      </w:r>
      <w:r>
        <w:t xml:space="preserve"> </w:t>
      </w:r>
      <w:r>
        <w:t xml:space="preserve">-</w:t>
      </w:r>
      <w:r>
        <w:t xml:space="preserve"> </w:t>
      </w:r>
      <w:r>
        <w:rPr>
          <w:b/>
          <w:bCs/>
        </w:rPr>
        <w:t xml:space="preserve">السمنة/NAFLD:</w:t>
      </w:r>
      <w:r>
        <w:t xml:space="preserve"> </w:t>
      </w:r>
      <w:r>
        <w:t xml:space="preserve">دهون غذائية زائدة + مقاومة إنسولين → تسرب دهني كبدي → سمية دهنية (DAG، سيراميدات) → التهاب (NASH) → تليف/تشمع.</w:t>
      </w:r>
      <w:r>
        <w:t xml:space="preserve"> </w:t>
      </w:r>
      <w:r>
        <w:t xml:space="preserve">-</w:t>
      </w:r>
      <w:r>
        <w:t xml:space="preserve"> </w:t>
      </w:r>
      <w:r>
        <w:rPr>
          <w:b/>
          <w:bCs/>
        </w:rPr>
        <w:t xml:space="preserve">الحماض الكيتوني السكري (DKA):</w:t>
      </w:r>
      <w:r>
        <w:t xml:space="preserve"> </w:t>
      </w:r>
      <w:r>
        <w:t xml:space="preserve">نقص إنسولين مطلق → تحلل دهون غير مكبوط → تكوين كيتونات هائل → انخفاض pH (&lt;7.3)، HCO₃⁻ &lt;18، حماض أيضي فجوة أنيون. تنفس Kussmaul تعوضي.</w:t>
      </w:r>
      <w:r>
        <w:t xml:space="preserve"> </w:t>
      </w:r>
      <w:r>
        <w:t xml:space="preserve">-</w:t>
      </w:r>
      <w:r>
        <w:t xml:space="preserve"> </w:t>
      </w:r>
      <w:r>
        <w:rPr>
          <w:b/>
          <w:bCs/>
        </w:rPr>
        <w:t xml:space="preserve">نقص الكارنيتين:</w:t>
      </w:r>
      <w:r>
        <w:t xml:space="preserve"> </w:t>
      </w:r>
      <w:r>
        <w:t xml:space="preserve">لا يمكن نقل الأحماض الدهنية طويلة السلسلة إلى الميتوكوندريا → نقص سكر دم نقصي كيتوني أثناء الصيام، ضعف عضلي، اعتلال عضلة القلب.</w:t>
      </w:r>
    </w:p>
    <w:bookmarkEnd w:id="39"/>
    <w:bookmarkStart w:id="40" w:name="Xeb8bef78fd9d6101a64ac114b1f4d8b79dc9338"/>
    <w:p>
      <w:pPr>
        <w:pStyle w:val="3"/>
      </w:pPr>
      <w:r>
        <w:rPr>
          <w:b/>
          <w:bCs/>
        </w:rPr>
        <w:t xml:space="preserve">السيناريو ج: أيض الأحماض الأمينية / دورة اليوريا</w:t>
      </w:r>
    </w:p>
    <w:p>
      <w:pPr>
        <w:pStyle w:val="FirstParagraph"/>
      </w:pPr>
      <w:r>
        <w:rPr>
          <w:b/>
          <w:bCs/>
        </w:rPr>
        <w:t xml:space="preserve">الطبيعي:</w:t>
      </w:r>
      <w:r>
        <w:t xml:space="preserve"> </w:t>
      </w:r>
      <w:r>
        <w:t xml:space="preserve">بروتين غذائي → أحماض أمينية → تُستخدم لتخليق البروتين، أو تُزال مجموعتها الأمينية → أمونيا (سامة) →</w:t>
      </w:r>
      <w:r>
        <w:t xml:space="preserve"> </w:t>
      </w:r>
      <w:r>
        <w:rPr>
          <w:b/>
          <w:bCs/>
        </w:rPr>
        <w:t xml:space="preserve">دورة اليوريا</w:t>
      </w:r>
      <w:r>
        <w:t xml:space="preserve"> </w:t>
      </w:r>
      <w:r>
        <w:t xml:space="preserve">(كبد) → يوريا (آمنة) → إفراز كلوي. الأحماض الأمينية المتفرعة السلسلة (الليوسين، الإsoleucine، الفالين) تُأكسد أساساً في العضلة.</w:t>
      </w:r>
    </w:p>
    <w:p>
      <w:pPr>
        <w:pStyle w:val="a0"/>
      </w:pPr>
      <w:r>
        <w:rPr>
          <w:b/>
          <w:bCs/>
        </w:rPr>
        <w:t xml:space="preserve">المرضي:</w:t>
      </w:r>
      <w:r>
        <w:t xml:space="preserve"> </w:t>
      </w:r>
      <w:r>
        <w:t xml:space="preserve">-</w:t>
      </w:r>
      <w:r>
        <w:t xml:space="preserve"> </w:t>
      </w:r>
      <w:r>
        <w:rPr>
          <w:b/>
          <w:bCs/>
        </w:rPr>
        <w:t xml:space="preserve">عيوب دورة اليوريا (نقص OTC، إلخ):</w:t>
      </w:r>
      <w:r>
        <w:t xml:space="preserve"> </w:t>
      </w:r>
      <w:r>
        <w:t xml:space="preserve">لا يمكن تحويل الأمونيا → فرط أمونيا الدم → تقيؤ، غيبوبة، وذمة دماغية في الرضع. كارثي.</w:t>
      </w:r>
      <w:r>
        <w:t xml:space="preserve"> </w:t>
      </w:r>
      <w:r>
        <w:t xml:space="preserve">-</w:t>
      </w:r>
      <w:r>
        <w:t xml:space="preserve"> </w:t>
      </w:r>
      <w:r>
        <w:rPr>
          <w:b/>
          <w:bCs/>
        </w:rPr>
        <w:t xml:space="preserve">فينيل كيتونوريا (PKU):</w:t>
      </w:r>
      <w:r>
        <w:t xml:space="preserve"> </w:t>
      </w:r>
      <w:r>
        <w:t xml:space="preserve">نقص فينيل ألانين هيدروكسيلاز → تراكم فينيل ألانين → سام للدماغ → إعاقة ذهنية ما لم يُفرض تقييد غذائي من الولادة.</w:t>
      </w:r>
      <w:r>
        <w:t xml:space="preserve"> </w:t>
      </w:r>
      <w:r>
        <w:t xml:space="preserve">-</w:t>
      </w:r>
      <w:r>
        <w:t xml:space="preserve"> </w:t>
      </w:r>
      <w:r>
        <w:rPr>
          <w:b/>
          <w:bCs/>
        </w:rPr>
        <w:t xml:space="preserve">مرض بول شراب القيقب:</w:t>
      </w:r>
      <w:r>
        <w:t xml:space="preserve"> </w:t>
      </w:r>
      <w:r>
        <w:t xml:space="preserve">نقص α-ketoacid dehydrogenase المتفرع السلسلة → تراكم BCAA → تلف دماغي، بول رائحته شراب القيقب.</w:t>
      </w:r>
    </w:p>
    <w:bookmarkEnd w:id="40"/>
    <w:bookmarkStart w:id="41" w:name="السيناريو-د-مسار-بنتوز-الفوسفات-ppp"/>
    <w:p>
      <w:pPr>
        <w:pStyle w:val="3"/>
      </w:pPr>
      <w:r>
        <w:rPr>
          <w:b/>
          <w:bCs/>
        </w:rPr>
        <w:t xml:space="preserve">السيناريو د: مسار بنتوز الفوسفات (PPP)</w:t>
      </w:r>
    </w:p>
    <w:p>
      <w:pPr>
        <w:pStyle w:val="FirstParagraph"/>
      </w:pPr>
      <w:r>
        <w:rPr>
          <w:b/>
          <w:bCs/>
        </w:rPr>
        <w:t xml:space="preserve">الطبيعي:</w:t>
      </w:r>
      <w:r>
        <w:t xml:space="preserve"> </w:t>
      </w:r>
      <w:r>
        <w:t xml:space="preserve">جلوكوز-6-فوسفات يُحوّل من التحلل السكري → يُنتج</w:t>
      </w:r>
      <w:r>
        <w:t xml:space="preserve"> </w:t>
      </w:r>
      <w:r>
        <w:rPr>
          <w:b/>
          <w:bCs/>
        </w:rPr>
        <w:t xml:space="preserve">NADPH</w:t>
      </w:r>
      <w:r>
        <w:t xml:space="preserve"> </w:t>
      </w:r>
      <w:r>
        <w:t xml:space="preserve">(قوة مضادة للأكسدة لتقليل الجلوتاثيون، تخليق أحماض دهنية) +</w:t>
      </w:r>
      <w:r>
        <w:t xml:space="preserve"> </w:t>
      </w:r>
      <w:r>
        <w:rPr>
          <w:b/>
          <w:bCs/>
        </w:rPr>
        <w:t xml:space="preserve">ريبوز-5-فوسفات</w:t>
      </w:r>
      <w:r>
        <w:t xml:space="preserve"> </w:t>
      </w:r>
      <w:r>
        <w:t xml:space="preserve">(تخليق نوكليوتيدات/DNA/RNA). حيوي في كريات الدم الحمراء (لا ميتوكوندري).</w:t>
      </w:r>
    </w:p>
    <w:p>
      <w:pPr>
        <w:pStyle w:val="a0"/>
      </w:pPr>
      <w:r>
        <w:rPr>
          <w:b/>
          <w:bCs/>
        </w:rPr>
        <w:t xml:space="preserve">المرضي:</w:t>
      </w:r>
      <w:r>
        <w:t xml:space="preserve"> </w:t>
      </w:r>
      <w:r>
        <w:t xml:space="preserve">-</w:t>
      </w:r>
      <w:r>
        <w:t xml:space="preserve"> </w:t>
      </w:r>
      <w:r>
        <w:rPr>
          <w:b/>
          <w:bCs/>
        </w:rPr>
        <w:t xml:space="preserve">نقص G6PD:</w:t>
      </w:r>
      <w:r>
        <w:t xml:space="preserve"> </w:t>
      </w:r>
      <w:r>
        <w:t xml:space="preserve">أكثر نقص إنزيمي شيوعاً في العالم. كريات الدم الحمراء لا تستطيع توليد NADPH → إجهاد تأكسدي (فول، أدوية سلفا، بريماكوين) → فقر دم انحلالي. أجسام هينز، خلايا مقضومة.</w:t>
      </w:r>
      <w:r>
        <w:t xml:space="preserve"> </w:t>
      </w:r>
      <w:r>
        <w:t xml:space="preserve">-</w:t>
      </w:r>
      <w:r>
        <w:t xml:space="preserve"> </w:t>
      </w:r>
      <w:r>
        <w:rPr>
          <w:b/>
          <w:bCs/>
        </w:rPr>
        <w:t xml:space="preserve">السرطان:</w:t>
      </w:r>
      <w:r>
        <w:t xml:space="preserve"> </w:t>
      </w:r>
      <w:r>
        <w:t xml:space="preserve">الخلايا السرطانية تُعلي PPP لتزويد الريبوز للتكاثر و NADPH لتحييد ROS المُحفّز بالعلاج الكيميائي.</w:t>
      </w:r>
    </w:p>
    <w:bookmarkEnd w:id="41"/>
    <w:bookmarkStart w:id="42" w:name="السيناريو-هـ-أيض-الكربون-الواحد-الميثيلة"/>
    <w:p>
      <w:pPr>
        <w:pStyle w:val="3"/>
      </w:pPr>
      <w:r>
        <w:rPr>
          <w:b/>
          <w:bCs/>
        </w:rPr>
        <w:t xml:space="preserve">السيناريو هـ: أيض الكربون الواحد / الميثيلة</w:t>
      </w:r>
    </w:p>
    <w:p>
      <w:pPr>
        <w:pStyle w:val="FirstParagraph"/>
      </w:pPr>
      <w:r>
        <w:rPr>
          <w:b/>
          <w:bCs/>
        </w:rPr>
        <w:t xml:space="preserve">الطبيعي:</w:t>
      </w:r>
      <w:r>
        <w:t xml:space="preserve"> </w:t>
      </w:r>
      <w:r>
        <w:t xml:space="preserve">دورة الفولات + دورة الميثيونين (ميثيونين أدينوسيل ترانسفيراز) →</w:t>
      </w:r>
      <w:r>
        <w:t xml:space="preserve"> </w:t>
      </w:r>
      <w:r>
        <w:rPr>
          <w:b/>
          <w:bCs/>
        </w:rPr>
        <w:t xml:space="preserve">S-أدينوسيل ميثيونين (SAM)</w:t>
      </w:r>
      <w:r>
        <w:t xml:space="preserve"> </w:t>
      </w:r>
      <w:r>
        <w:t xml:space="preserve">→ مانح ميثيل عالمي لميثلة DNA، تخليق نواقل عصبية (أبينفرين من نورإبينفرين، كرياتين، فوسفاتيديل كولين)، إزالة سمية.</w:t>
      </w:r>
    </w:p>
    <w:p>
      <w:pPr>
        <w:pStyle w:val="a0"/>
      </w:pPr>
      <w:r>
        <w:rPr>
          <w:b/>
          <w:bCs/>
        </w:rPr>
        <w:t xml:space="preserve">المرضي:</w:t>
      </w:r>
      <w:r>
        <w:t xml:space="preserve"> </w:t>
      </w:r>
      <w:r>
        <w:t xml:space="preserve">-</w:t>
      </w:r>
      <w:r>
        <w:t xml:space="preserve"> </w:t>
      </w:r>
      <w:r>
        <w:rPr>
          <w:b/>
          <w:bCs/>
        </w:rPr>
        <w:t xml:space="preserve">فرط حمض الهوموسيستين:</w:t>
      </w:r>
      <w:r>
        <w:t xml:space="preserve"> </w:t>
      </w:r>
      <w:r>
        <w:t xml:space="preserve">طفرة MTHFR أو نقص B12/فولات → تراكم الهوموسيستين → تلف بطانة، خثار، مرض قلبي وعائي، عيوب أنبوب عصبي في الحمل.</w:t>
      </w:r>
      <w:r>
        <w:t xml:space="preserve"> </w:t>
      </w:r>
      <w:r>
        <w:t xml:space="preserve">-</w:t>
      </w:r>
      <w:r>
        <w:t xml:space="preserve"> </w:t>
      </w:r>
      <w:r>
        <w:rPr>
          <w:b/>
          <w:bCs/>
        </w:rPr>
        <w:t xml:space="preserve">فقر الدم الضخم الأرومات:</w:t>
      </w:r>
      <w:r>
        <w:t xml:space="preserve"> </w:t>
      </w:r>
      <w:r>
        <w:t xml:space="preserve">نقص B12/فولات → ضعف تخليق DNA → كريات دم حمراء كبيرة ناضجة (ضخم الأرومات) → نقص كلي للدم، التهاب لسان، عجز عصبي (B12 تحديداً — تنكس تحت حاد مشترك للنخاع).</w:t>
      </w:r>
    </w:p>
    <w:bookmarkEnd w:id="42"/>
    <w:bookmarkStart w:id="43" w:name="X99e411c78684ef72126bc92a6334794ce157c53"/>
    <w:p>
      <w:pPr>
        <w:pStyle w:val="3"/>
      </w:pPr>
      <w:r>
        <w:rPr>
          <w:b/>
          <w:bCs/>
        </w:rPr>
        <w:t xml:space="preserve">السيناريو و: أيض الخلايا المناعية — تحويلة واربورغ</w:t>
      </w:r>
    </w:p>
    <w:p>
      <w:pPr>
        <w:pStyle w:val="FirstParagraph"/>
      </w:pPr>
      <w:r>
        <w:rPr>
          <w:b/>
          <w:bCs/>
        </w:rPr>
        <w:t xml:space="preserve">الطبيعي:</w:t>
      </w:r>
      <w:r>
        <w:t xml:space="preserve"> </w:t>
      </w:r>
      <w:r>
        <w:t xml:space="preserve">الخلايا المناعية الراكدة (بلاعم M2، Treg، خلايا T ذاكرة) تستخدم</w:t>
      </w:r>
      <w:r>
        <w:t xml:space="preserve"> </w:t>
      </w:r>
      <w:r>
        <w:rPr>
          <w:b/>
          <w:bCs/>
        </w:rPr>
        <w:t xml:space="preserve">OXPHOS</w:t>
      </w:r>
      <w:r>
        <w:t xml:space="preserve"> </w:t>
      </w:r>
      <w:r>
        <w:t xml:space="preserve">(أكسدة الأحماض الدهنية). عند التنشيط،</w:t>
      </w:r>
      <w:r>
        <w:t xml:space="preserve"> </w:t>
      </w:r>
      <w:r>
        <w:rPr>
          <w:b/>
          <w:bCs/>
        </w:rPr>
        <w:t xml:space="preserve">البلاعم M1</w:t>
      </w:r>
      <w:r>
        <w:t xml:space="preserve">،</w:t>
      </w:r>
      <w:r>
        <w:t xml:space="preserve"> </w:t>
      </w:r>
      <w:r>
        <w:rPr>
          <w:b/>
          <w:bCs/>
        </w:rPr>
        <w:t xml:space="preserve">خلايا T Th1/Th17 الفعالة</w:t>
      </w:r>
      <w:r>
        <w:t xml:space="preserve">، و</w:t>
      </w:r>
      <w:r>
        <w:rPr>
          <w:b/>
          <w:bCs/>
        </w:rPr>
        <w:t xml:space="preserve">خلايا B المُنشّطة</w:t>
      </w:r>
      <w:r>
        <w:t xml:space="preserve"> </w:t>
      </w:r>
      <w:r>
        <w:t xml:space="preserve">تتحول إلى</w:t>
      </w:r>
      <w:r>
        <w:t xml:space="preserve"> </w:t>
      </w:r>
      <w:r>
        <w:rPr>
          <w:b/>
          <w:bCs/>
        </w:rPr>
        <w:t xml:space="preserve">التحلل السكري الهوائي</w:t>
      </w:r>
      <w:r>
        <w:t xml:space="preserve"> </w:t>
      </w:r>
      <w:r>
        <w:t xml:space="preserve">(تأثير واربورغ) — ليس لأنها تفتقر للأكسجين، بل لأنها تحتاج ATP سريعاً ووسطاء حيوية (بنتوز، NADPH، أحماض أمينية) للتكاثر وإنتاج السيتوكينات.</w:t>
      </w:r>
    </w:p>
    <w:p>
      <w:pPr>
        <w:pStyle w:val="a0"/>
      </w:pPr>
      <w:r>
        <w:rPr>
          <w:b/>
          <w:bCs/>
        </w:rPr>
        <w:t xml:space="preserve">المرضي:</w:t>
      </w:r>
      <w:r>
        <w:t xml:space="preserve"> </w:t>
      </w:r>
      <w:r>
        <w:t xml:space="preserve">-</w:t>
      </w:r>
      <w:r>
        <w:t xml:space="preserve"> </w:t>
      </w:r>
      <w:r>
        <w:rPr>
          <w:b/>
          <w:bCs/>
        </w:rPr>
        <w:t xml:space="preserve">الشلل المناعي المُحفّز بالإنتان:</w:t>
      </w:r>
      <w:r>
        <w:t xml:space="preserve"> </w:t>
      </w:r>
      <w:r>
        <w:t xml:space="preserve">عاصفة سيتوكينية أولية (M1 تحلل سكري) → استنفاد → البلاعم تتحول إلى OXPHOS (شبيهة بـ M2)، تصبح مضادة للالتهاب لكن تفشل في إزالة العدوى → عدوى ثانوية، موت.</w:t>
      </w:r>
      <w:r>
        <w:t xml:space="preserve"> </w:t>
      </w:r>
      <w:r>
        <w:t xml:space="preserve">-</w:t>
      </w:r>
      <w:r>
        <w:t xml:space="preserve"> </w:t>
      </w:r>
      <w:r>
        <w:rPr>
          <w:b/>
          <w:bCs/>
        </w:rPr>
        <w:t xml:space="preserve">البيئة الدقيقة للورم:</w:t>
      </w:r>
      <w:r>
        <w:t xml:space="preserve"> </w:t>
      </w:r>
      <w:r>
        <w:t xml:space="preserve">البلاعم المصاحبة للورم (TAMs) تُعاد برمجتها أيضياً باللاكتات الورمي إلى نمط OXPHOS شبيه بـ M2 → كبت مناعي، تُعزز تكوين الأوعية ونمو الورم.</w:t>
      </w:r>
      <w:r>
        <w:t xml:space="preserve"> </w:t>
      </w:r>
      <w:r>
        <w:t xml:space="preserve">-</w:t>
      </w:r>
      <w:r>
        <w:t xml:space="preserve"> </w:t>
      </w:r>
      <w:r>
        <w:rPr>
          <w:b/>
          <w:bCs/>
        </w:rPr>
        <w:t xml:space="preserve">المناعة الذاتية:</w:t>
      </w:r>
      <w:r>
        <w:t xml:space="preserve"> </w:t>
      </w:r>
      <w:r>
        <w:t xml:space="preserve">الخلايا T المُتفاعلة ذاتياً في التهاب المفاصل الروماتويدي، التصلب المتعدد، السكري النوع 1 تُظهر التزاماً تحللياً سكرياً مستمراً → مقاومة للتنظيم. الميتفورمين (منشّط AMPK) ومثبطات mTOR يمكن أن تُعيد التوجيه نحو التنظيم.</w:t>
      </w:r>
    </w:p>
    <w:p>
      <w:r>
        <w:pict>
          <v:rect style="width:0;height:1.5pt" o:hralign="center" o:hrstd="t" o:hr="t"/>
        </w:pict>
      </w:r>
    </w:p>
    <w:bookmarkEnd w:id="43"/>
    <w:bookmarkEnd w:id="44"/>
    <w:bookmarkStart w:id="51" w:name="المملكة-الرابعة-الحصن-المناعي"/>
    <w:p>
      <w:pPr>
        <w:pStyle w:val="2"/>
      </w:pPr>
      <w:r>
        <w:t xml:space="preserve">🛡️ المملكة الرابعة: الحصن المناعي</w:t>
      </w:r>
    </w:p>
    <w:p>
      <w:pPr>
        <w:pStyle w:val="FirstParagraph"/>
      </w:pPr>
      <w:r>
        <w:rPr>
          <w:i/>
          <w:iCs/>
        </w:rPr>
        <w:t xml:space="preserve">حيث يُدافع عن الذات، ويُدمر غير الذات، والخط الفاصل بينهما يقرر البقاء</w:t>
      </w:r>
    </w:p>
    <w:bookmarkStart w:id="45" w:name="السيناريو-أ-الالتهاب-الفطري-tlrs-و-nf-κb"/>
    <w:p>
      <w:pPr>
        <w:pStyle w:val="3"/>
      </w:pPr>
      <w:r>
        <w:rPr>
          <w:b/>
          <w:bCs/>
        </w:rPr>
        <w:t xml:space="preserve">السيناريو أ: الالتهاب الفطري — TLRs و NF-κB</w:t>
      </w:r>
    </w:p>
    <w:p>
      <w:pPr>
        <w:pStyle w:val="FirstParagraph"/>
      </w:pPr>
      <w:r>
        <w:rPr>
          <w:b/>
          <w:bCs/>
        </w:rPr>
        <w:t xml:space="preserve">الطبيعي:</w:t>
      </w:r>
      <w:r>
        <w:t xml:space="preserve"> </w:t>
      </w:r>
      <w:r>
        <w:t xml:space="preserve">أنماط جزيئية مرتبطة بالمسببات (PAMPs) أو أنماط مرتبطة بالضرر (DAMPs) ترتبط TLRs → MyD88/TRIF → تنشيط NF-κB و IRF3 → سيتوكينات التهابية (TNF-α، IL-1β، IL-6، IFN النوع الأول) → استدعاء العدلات، حمى، استجابة طور حاد. يُقيّد ذاتياً بعد إزالة المسبب.</w:t>
      </w:r>
    </w:p>
    <w:p>
      <w:pPr>
        <w:pStyle w:val="a0"/>
      </w:pPr>
      <w:r>
        <w:rPr>
          <w:b/>
          <w:bCs/>
        </w:rPr>
        <w:t xml:space="preserve">المرضي:</w:t>
      </w:r>
      <w:r>
        <w:t xml:space="preserve"> </w:t>
      </w:r>
      <w:r>
        <w:t xml:space="preserve">-</w:t>
      </w:r>
      <w:r>
        <w:t xml:space="preserve"> </w:t>
      </w:r>
      <w:r>
        <w:rPr>
          <w:b/>
          <w:bCs/>
        </w:rPr>
        <w:t xml:space="preserve">الإنتان/SIRS:</w:t>
      </w:r>
      <w:r>
        <w:t xml:space="preserve"> </w:t>
      </w:r>
      <w:r>
        <w:t xml:space="preserve">عدوى ساحقة → عاصفة سيتوكينية → توسع وعائي جهازي، تسرب شعري، تخثر منتشر داخل الأوعية، فشل متعدد الأعضاء. الدفاع يصبح المدمر.</w:t>
      </w:r>
      <w:r>
        <w:t xml:space="preserve"> </w:t>
      </w:r>
      <w:r>
        <w:t xml:space="preserve">-</w:t>
      </w:r>
      <w:r>
        <w:t xml:space="preserve"> </w:t>
      </w:r>
      <w:r>
        <w:rPr>
          <w:b/>
          <w:bCs/>
        </w:rPr>
        <w:t xml:space="preserve">متلازمات الالتهاب الذاتي (الحمى البحرية المتوسطية العائلية):</w:t>
      </w:r>
      <w:r>
        <w:t xml:space="preserve"> </w:t>
      </w:r>
      <w:r>
        <w:t xml:space="preserve">طفرات في البيرين (جين MEFV) → خلل في ال inflammasome → فرط إنتاج IL-1β → حمى متكررة، التهاب الصفاق، أيوليد.</w:t>
      </w:r>
      <w:r>
        <w:t xml:space="preserve"> </w:t>
      </w:r>
      <w:r>
        <w:t xml:space="preserve">-</w:t>
      </w:r>
      <w:r>
        <w:t xml:space="preserve"> </w:t>
      </w:r>
      <w:r>
        <w:rPr>
          <w:b/>
          <w:bCs/>
        </w:rPr>
        <w:t xml:space="preserve">الالتهاب المزمن منخفض الدرجة:</w:t>
      </w:r>
      <w:r>
        <w:t xml:space="preserve"> </w:t>
      </w:r>
      <w:r>
        <w:t xml:space="preserve">السمنة، التقدم في السن (</w:t>
      </w:r>
      <w:r>
        <w:t xml:space="preserve">“</w:t>
      </w:r>
      <w:r>
        <w:t xml:space="preserve">الالتهاب المرتبط بالشيخوخة</w:t>
      </w:r>
      <w:r>
        <w:t xml:space="preserve">”</w:t>
      </w:r>
      <w:r>
        <w:t xml:space="preserve">)، السكري النوع 2 → تنشيط مستمر لـ TLR4 بالأحماض الدهنية/DAMPs → IL-6 تُحرّك إنتاج CRP الكبدي → تصلب الشرايين، مقاومة إنسولين، تنكس عصبي.</w:t>
      </w:r>
    </w:p>
    <w:bookmarkEnd w:id="45"/>
    <w:bookmarkStart w:id="46" w:name="Xe2d1a5724a3d58b061044be2dc532326948bc7b"/>
    <w:p>
      <w:pPr>
        <w:pStyle w:val="3"/>
      </w:pPr>
      <w:r>
        <w:rPr>
          <w:b/>
          <w:bCs/>
        </w:rPr>
        <w:t xml:space="preserve">السيناريو ب: الخلوي التكيفي — حروب الخلايا T</w:t>
      </w:r>
    </w:p>
    <w:p>
      <w:pPr>
        <w:pStyle w:val="FirstParagraph"/>
      </w:pPr>
      <w:r>
        <w:rPr>
          <w:b/>
          <w:bCs/>
        </w:rPr>
        <w:t xml:space="preserve">الطبيعي:</w:t>
      </w:r>
      <w:r>
        <w:t xml:space="preserve"> </w:t>
      </w:r>
      <w:r>
        <w:t xml:space="preserve">APC تقدم مستضداً على MHC → تمييز TCR + تنشيط مشترك (CD28-B7) + بيئة سيتوكينية → الخلية T CD4+ الوليدة تتمايز إلى:</w:t>
      </w:r>
      <w:r>
        <w:t xml:space="preserve"> </w:t>
      </w:r>
      <w:r>
        <w:t xml:space="preserve">-</w:t>
      </w:r>
      <w:r>
        <w:t xml:space="preserve"> </w:t>
      </w:r>
      <w:r>
        <w:rPr>
          <w:b/>
          <w:bCs/>
        </w:rPr>
        <w:t xml:space="preserve">Th1</w:t>
      </w:r>
      <w:r>
        <w:t xml:space="preserve"> </w:t>
      </w:r>
      <w:r>
        <w:t xml:space="preserve">(IFN-γ، IL-12) → مسببات داخل الخلوية</w:t>
      </w:r>
      <w:r>
        <w:t xml:space="preserve"> </w:t>
      </w:r>
      <w:r>
        <w:t xml:space="preserve">-</w:t>
      </w:r>
      <w:r>
        <w:t xml:space="preserve"> </w:t>
      </w:r>
      <w:r>
        <w:rPr>
          <w:b/>
          <w:bCs/>
        </w:rPr>
        <w:t xml:space="preserve">Th2</w:t>
      </w:r>
      <w:r>
        <w:t xml:space="preserve"> </w:t>
      </w:r>
      <w:r>
        <w:t xml:space="preserve">(IL-4، IL-5، IL-13) → طفيليات، مساعدة خلوية</w:t>
      </w:r>
      <w:r>
        <w:t xml:space="preserve"> </w:t>
      </w:r>
      <w:r>
        <w:t xml:space="preserve">-</w:t>
      </w:r>
      <w:r>
        <w:t xml:space="preserve"> </w:t>
      </w:r>
      <w:r>
        <w:rPr>
          <w:b/>
          <w:bCs/>
        </w:rPr>
        <w:t xml:space="preserve">Th17</w:t>
      </w:r>
      <w:r>
        <w:t xml:space="preserve"> </w:t>
      </w:r>
      <w:r>
        <w:t xml:space="preserve">(IL-17، IL-23) → حواجز مخاطية، فطريات</w:t>
      </w:r>
      <w:r>
        <w:t xml:space="preserve"> </w:t>
      </w:r>
      <w:r>
        <w:t xml:space="preserve">-</w:t>
      </w:r>
      <w:r>
        <w:t xml:space="preserve"> </w:t>
      </w:r>
      <w:r>
        <w:rPr>
          <w:b/>
          <w:bCs/>
        </w:rPr>
        <w:t xml:space="preserve">Treg</w:t>
      </w:r>
      <w:r>
        <w:t xml:space="preserve"> </w:t>
      </w:r>
      <w:r>
        <w:t xml:space="preserve">(FoxP3، IL-10، TGF-β) → التسامح، منع المناعة الذاتية</w:t>
      </w:r>
      <w:r>
        <w:t xml:space="preserve"> </w:t>
      </w:r>
      <w:r>
        <w:t xml:space="preserve">خلايا CD8+ T تصبح CTLs (بيرفورين/غرانزيم) لتقتل الخلايا المُصابة/السرطانية.</w:t>
      </w:r>
    </w:p>
    <w:p>
      <w:pPr>
        <w:pStyle w:val="a0"/>
      </w:pPr>
      <w:r>
        <w:rPr>
          <w:b/>
          <w:bCs/>
        </w:rPr>
        <w:t xml:space="preserve">المرضي:</w:t>
      </w:r>
      <w:r>
        <w:t xml:space="preserve"> </w:t>
      </w:r>
      <w:r>
        <w:t xml:space="preserve">-</w:t>
      </w:r>
      <w:r>
        <w:t xml:space="preserve"> </w:t>
      </w:r>
      <w:r>
        <w:rPr>
          <w:b/>
          <w:bCs/>
        </w:rPr>
        <w:t xml:space="preserve">HIV/الإيدز:</w:t>
      </w:r>
      <w:r>
        <w:t xml:space="preserve"> </w:t>
      </w:r>
      <w:r>
        <w:t xml:space="preserve">الفيروس يُصيب خلايا CD4+ T عبر CCR5/CXCR4 → استنزاف الخلايا T المُساعدة → نقص مناعي، عدوى انتهازية، سرطان. CTLs وخلايا B تفقد التوجيه بدون مساعدة الخلايا T.</w:t>
      </w:r>
      <w:r>
        <w:t xml:space="preserve"> </w:t>
      </w:r>
      <w:r>
        <w:t xml:space="preserve">-</w:t>
      </w:r>
      <w:r>
        <w:t xml:space="preserve"> </w:t>
      </w:r>
      <w:r>
        <w:rPr>
          <w:b/>
          <w:bCs/>
        </w:rPr>
        <w:t xml:space="preserve">التصلب المتعدد:</w:t>
      </w:r>
      <w:r>
        <w:t xml:space="preserve"> </w:t>
      </w:r>
      <w:r>
        <w:t xml:space="preserve">خلايا T ذاتية التفاعل ضد بروتين الميالين الأساسي → تعبر الحاجز الدموي الدماغي → فقدان الميالين، فقدان المحور، إعاقة تقدمية.</w:t>
      </w:r>
      <w:r>
        <w:t xml:space="preserve"> </w:t>
      </w:r>
      <w:r>
        <w:t xml:space="preserve">-</w:t>
      </w:r>
      <w:r>
        <w:t xml:space="preserve"> </w:t>
      </w:r>
      <w:r>
        <w:rPr>
          <w:b/>
          <w:bCs/>
        </w:rPr>
        <w:t xml:space="preserve">مرض الطعمة ضد المضيف (GVHD):</w:t>
      </w:r>
      <w:r>
        <w:t xml:space="preserve"> </w:t>
      </w:r>
      <w:r>
        <w:t xml:space="preserve">خلايا T المتبرع تتعرف MHC المضيف كغريب → تهاجم الجلد، الكبد، الأمعاء. مثبطات mTOR ومثبطات الكالسينيورين تكبت تنشيط الخلايا T.</w:t>
      </w:r>
    </w:p>
    <w:bookmarkEnd w:id="46"/>
    <w:bookmarkStart w:id="47" w:name="Xbb046a1f30e82f31effe5f99d4948b37fa230c4"/>
    <w:p>
      <w:pPr>
        <w:pStyle w:val="3"/>
      </w:pPr>
      <w:r>
        <w:rPr>
          <w:b/>
          <w:bCs/>
        </w:rPr>
        <w:t xml:space="preserve">السيناريو ج: الخلوي السائل — ترسانة الخلايا B</w:t>
      </w:r>
    </w:p>
    <w:p>
      <w:pPr>
        <w:pStyle w:val="FirstParagraph"/>
      </w:pPr>
      <w:r>
        <w:rPr>
          <w:b/>
          <w:bCs/>
        </w:rPr>
        <w:t xml:space="preserve">الطبيعي:</w:t>
      </w:r>
      <w:r>
        <w:t xml:space="preserve"> </w:t>
      </w:r>
      <w:r>
        <w:t xml:space="preserve">BCR يرتبط المستضد + مساعدة Tfh (CD40L، سيتوكينات) → تكاثر استنساخي → خلايا بلازما تُفرز أضداد عالية الارتباط</w:t>
      </w:r>
      <w:r>
        <w:t xml:space="preserve"> </w:t>
      </w:r>
      <w:r>
        <w:rPr>
          <w:b/>
          <w:bCs/>
        </w:rPr>
        <w:t xml:space="preserve">IgG/IgA/IgE</w:t>
      </w:r>
      <w:r>
        <w:t xml:space="preserve"> </w:t>
      </w:r>
      <w:r>
        <w:t xml:space="preserve">+ خلايا B ذاكرة. طفرة جسدية في مراكز جرثومية تُحسّن الأضداد. تنشيط المتممة (المسار الكلاسيكي) بواسطة IgG/IgM.</w:t>
      </w:r>
    </w:p>
    <w:p>
      <w:pPr>
        <w:pStyle w:val="a0"/>
      </w:pPr>
      <w:r>
        <w:rPr>
          <w:b/>
          <w:bCs/>
        </w:rPr>
        <w:t xml:space="preserve">المرضي:</w:t>
      </w:r>
      <w:r>
        <w:t xml:space="preserve"> </w:t>
      </w:r>
      <w:r>
        <w:t xml:space="preserve">-</w:t>
      </w:r>
      <w:r>
        <w:t xml:space="preserve"> </w:t>
      </w:r>
      <w:r>
        <w:rPr>
          <w:b/>
          <w:bCs/>
        </w:rPr>
        <w:t xml:space="preserve">الذئبة الحمراء الجهازية:</w:t>
      </w:r>
      <w:r>
        <w:t xml:space="preserve"> </w:t>
      </w:r>
      <w:r>
        <w:t xml:space="preserve">فقدان التسامح → أضداد ذاتية ضد dsDNA، Sm، نواة → ترسب معقدات مناعية في الكلى (التهاب كلى ذئبي)، الجلد، المفاصل. استهلاك المتممة (C3/C4 منخفض).</w:t>
      </w:r>
      <w:r>
        <w:t xml:space="preserve"> </w:t>
      </w:r>
      <w:r>
        <w:t xml:space="preserve">-</w:t>
      </w:r>
      <w:r>
        <w:t xml:space="preserve"> </w:t>
      </w:r>
      <w:r>
        <w:rPr>
          <w:b/>
          <w:bCs/>
        </w:rPr>
        <w:t xml:space="preserve">نقص المناعة المتغير الشائع (CVID):</w:t>
      </w:r>
      <w:r>
        <w:t xml:space="preserve"> </w:t>
      </w:r>
      <w:r>
        <w:t xml:space="preserve">خلايا B تفشل في التمايز إلى خلايا بلازما → نقص غاماغلوبولين الدم → عدوى تنفسية جيبية رئوية متكررة، مناعة ذاتية مفارقة، توسع القصبات.</w:t>
      </w:r>
      <w:r>
        <w:t xml:space="preserve"> </w:t>
      </w:r>
      <w:r>
        <w:t xml:space="preserve">-</w:t>
      </w:r>
      <w:r>
        <w:t xml:space="preserve"> </w:t>
      </w:r>
      <w:r>
        <w:rPr>
          <w:b/>
          <w:bCs/>
        </w:rPr>
        <w:t xml:space="preserve">المتلازمات البرانيوبلازمية:</w:t>
      </w:r>
      <w:r>
        <w:t xml:space="preserve"> </w:t>
      </w:r>
      <w:r>
        <w:t xml:space="preserve">الأورام تُعبّر مستضدات عصبية (anti-Hu، anti-Yo) → خلايا B تُنتج أضداداً تهاجم الجهاز العصبي → تنكس مخيخي، التهاب الدماغ الحوفي.</w:t>
      </w:r>
    </w:p>
    <w:bookmarkEnd w:id="47"/>
    <w:bookmarkStart w:id="48" w:name="السيناريو-د-شبكة-السيتوكينات-حرب-الرسل"/>
    <w:p>
      <w:pPr>
        <w:pStyle w:val="3"/>
      </w:pPr>
      <w:r>
        <w:rPr>
          <w:b/>
          <w:bCs/>
        </w:rPr>
        <w:t xml:space="preserve">السيناريو د: شبكة السيتوكينات — حرب الرسل</w:t>
      </w:r>
    </w:p>
    <w:p>
      <w:pPr>
        <w:pStyle w:val="FirstParagraph"/>
      </w:pPr>
      <w:r>
        <w:rPr>
          <w:b/>
          <w:bCs/>
        </w:rPr>
        <w:t xml:space="preserve">الطبيعي:</w:t>
      </w:r>
      <w:r>
        <w:t xml:space="preserve"> </w:t>
      </w:r>
      <w:r>
        <w:t xml:space="preserve">السيتوكينات هي الدردشة اللاسلكية للجهاز المناعي. IL-2 تُحرّك تكاثر الخلايا T. IFN-γ تُنشّط البلاعم. IL-4 تُحرّك تحويل فصائل الخلايا B. IL-10/TGF-β تُحل الالتهاب. التوازن بين التهابي ومضاد للالتهاب ديناميكي.</w:t>
      </w:r>
    </w:p>
    <w:p>
      <w:pPr>
        <w:pStyle w:val="a0"/>
      </w:pPr>
      <w:r>
        <w:rPr>
          <w:b/>
          <w:bCs/>
        </w:rPr>
        <w:t xml:space="preserve">المرضي:</w:t>
      </w:r>
      <w:r>
        <w:t xml:space="preserve"> </w:t>
      </w:r>
      <w:r>
        <w:t xml:space="preserve">-</w:t>
      </w:r>
      <w:r>
        <w:t xml:space="preserve"> </w:t>
      </w:r>
      <w:r>
        <w:rPr>
          <w:b/>
          <w:bCs/>
        </w:rPr>
        <w:t xml:space="preserve">متلازمة إطلاق السيتوكينات (علاج CAR-T):</w:t>
      </w:r>
      <w:r>
        <w:t xml:space="preserve"> </w:t>
      </w:r>
      <w:r>
        <w:t xml:space="preserve">إطلاق هائل لـ IL-6، IL-1β → حمى عالية، انخفاض ضغط الدم، سمية عصبية. توسيليزوماب (anti-IL-6R) منقذ للحياة.</w:t>
      </w:r>
      <w:r>
        <w:t xml:space="preserve"> </w:t>
      </w:r>
      <w:r>
        <w:t xml:space="preserve">-</w:t>
      </w:r>
      <w:r>
        <w:t xml:space="preserve"> </w:t>
      </w:r>
      <w:r>
        <w:rPr>
          <w:b/>
          <w:bCs/>
        </w:rPr>
        <w:t xml:space="preserve">متلازمة تنشيط البلاعم (MAS):</w:t>
      </w:r>
      <w:r>
        <w:t xml:space="preserve"> </w:t>
      </w:r>
      <w:r>
        <w:t xml:space="preserve">تنشيط غير مضبوط للخلايا T والبلاعم → التهام الدم، نقص كلي للدم، فرط فيريتين. غالباً مُحفّز بالعدوى في استعداد جيني (عيوب مسار البيرفورين).</w:t>
      </w:r>
      <w:r>
        <w:t xml:space="preserve"> </w:t>
      </w:r>
      <w:r>
        <w:t xml:space="preserve">-</w:t>
      </w:r>
      <w:r>
        <w:t xml:space="preserve"> </w:t>
      </w:r>
      <w:r>
        <w:rPr>
          <w:b/>
          <w:bCs/>
        </w:rPr>
        <w:t xml:space="preserve">الالتهاب المزمن والاكتئاب:</w:t>
      </w:r>
      <w:r>
        <w:t xml:space="preserve"> </w:t>
      </w:r>
      <w:r>
        <w:t xml:space="preserve">IL-6 و TNF-α تُحفّز IDO (تحويل التريبتوفان)، تقلل BDNF، تُنشّط الخلايا الدبقية الصغيرة → سلوك المرض، فقدان اللذة، ضعف إدراكي. الالتهاب مُعترف به الآن كمحرك للاكتئاب المقاوم للعلاج.</w:t>
      </w:r>
    </w:p>
    <w:bookmarkEnd w:id="48"/>
    <w:bookmarkStart w:id="49" w:name="Xcd696d2b1244f1149ba9178673797a825bf4821"/>
    <w:p>
      <w:pPr>
        <w:pStyle w:val="3"/>
      </w:pPr>
      <w:r>
        <w:rPr>
          <w:b/>
          <w:bCs/>
        </w:rPr>
        <w:t xml:space="preserve">السيناريو هـ: سلسلة المتممة —</w:t>
      </w:r>
      <w:r>
        <w:rPr>
          <w:b/>
          <w:bCs/>
        </w:rPr>
        <w:t xml:space="preserve"> </w:t>
      </w:r>
      <w:r>
        <w:rPr>
          <w:b/>
          <w:bCs/>
        </w:rPr>
        <w:t xml:space="preserve">“</w:t>
      </w:r>
      <w:r>
        <w:rPr>
          <w:b/>
          <w:bCs/>
        </w:rPr>
        <w:t xml:space="preserve">سيف المناعة الفطري</w:t>
      </w:r>
      <w:r>
        <w:rPr>
          <w:b/>
          <w:bCs/>
        </w:rPr>
        <w:t xml:space="preserve">”</w:t>
      </w:r>
    </w:p>
    <w:p>
      <w:pPr>
        <w:pStyle w:val="FirstParagraph"/>
      </w:pPr>
      <w:r>
        <w:rPr>
          <w:b/>
          <w:bCs/>
        </w:rPr>
        <w:t xml:space="preserve">الطبيعي:</w:t>
      </w:r>
      <w:r>
        <w:t xml:space="preserve"> </w:t>
      </w:r>
      <w:r>
        <w:t xml:space="preserve">ثلاثة مسارات تنشيط (كلاسيكي [ضد-مستضد]، لكتين [لكتين مرتبط بالمانوز]، بديل [C3 tickover التلقائي]) تلتقي على</w:t>
      </w:r>
      <w:r>
        <w:t xml:space="preserve"> </w:t>
      </w:r>
      <w:r>
        <w:rPr>
          <w:b/>
          <w:bCs/>
        </w:rPr>
        <w:t xml:space="preserve">C3 convertase</w:t>
      </w:r>
      <w:r>
        <w:t xml:space="preserve"> </w:t>
      </w:r>
      <w:r>
        <w:t xml:space="preserve">→ تسبيغ C3b + كيمياء attractية C5a + مجمع هجوم الغشاء (MAC: C5b-9) → تثقب غشاء المسببات.</w:t>
      </w:r>
    </w:p>
    <w:p>
      <w:pPr>
        <w:pStyle w:val="a0"/>
      </w:pPr>
      <w:r>
        <w:rPr>
          <w:b/>
          <w:bCs/>
        </w:rPr>
        <w:t xml:space="preserve">المرضي:</w:t>
      </w:r>
      <w:r>
        <w:t xml:space="preserve"> </w:t>
      </w:r>
      <w:r>
        <w:t xml:space="preserve">-</w:t>
      </w:r>
      <w:r>
        <w:t xml:space="preserve"> </w:t>
      </w:r>
      <w:r>
        <w:rPr>
          <w:b/>
          <w:bCs/>
        </w:rPr>
        <w:t xml:space="preserve">الوذمة الوعائية الوراثية (نقص C1-INH):</w:t>
      </w:r>
      <w:r>
        <w:t xml:space="preserve"> </w:t>
      </w:r>
      <w:r>
        <w:t xml:space="preserve">تنشيط C1 غير مضبوط → تراكم براديكينين (ليس هيستامين!) → تورم متكرر غير حاكّ للوجه، المجرى الهوائي، البطن. لا يستجيب لمضادات الهيستامين أو الأدرينالين. يُعالج بمركز C1-INH أو إيكاتيبانت (مضاد براديكينين).</w:t>
      </w:r>
      <w:r>
        <w:t xml:space="preserve"> </w:t>
      </w:r>
      <w:r>
        <w:t xml:space="preserve">-</w:t>
      </w:r>
      <w:r>
        <w:t xml:space="preserve"> </w:t>
      </w:r>
      <w:r>
        <w:rPr>
          <w:b/>
          <w:bCs/>
        </w:rPr>
        <w:t xml:space="preserve">فقر الدم الليلي الارتجافي (PNH):</w:t>
      </w:r>
      <w:r>
        <w:t xml:space="preserve"> </w:t>
      </w:r>
      <w:r>
        <w:t xml:space="preserve">طفرة PIGA → فقدان مراسي GPI → CD55/CD59 (DAF/MIRL) مفقودة على كريات الدم الحمراء → تحلل متممة غير مضبوط → انحلال، بيلة دموية (بول داكن صباحاً)، خثار (الهيموغلوبين الحر يستحلب NO)، فشل نخاع العظم.</w:t>
      </w:r>
      <w:r>
        <w:t xml:space="preserve"> </w:t>
      </w:r>
      <w:r>
        <w:t xml:space="preserve">-</w:t>
      </w:r>
      <w:r>
        <w:t xml:space="preserve"> </w:t>
      </w:r>
      <w:r>
        <w:rPr>
          <w:b/>
          <w:bCs/>
        </w:rPr>
        <w:t xml:space="preserve">HUS غير نمطي:</w:t>
      </w:r>
      <w:r>
        <w:t xml:space="preserve"> </w:t>
      </w:r>
      <w:r>
        <w:t xml:space="preserve">طفرات في منظمات المتممة (عامل H، I، أو بروتين مساعد الغشاء) → تنشيط غير مضبوط للمسار البديل → فقر دم انحلالي ميكروأنغيوباثي، نقص صفيحات، فشل كلوي. يُعالج بالإيكوليزوماب (anti-C5).</w:t>
      </w:r>
    </w:p>
    <w:bookmarkEnd w:id="49"/>
    <w:bookmarkStart w:id="50" w:name="X07851bd8a560186e30fe5393cc1d9c82d9a3d61"/>
    <w:p>
      <w:pPr>
        <w:pStyle w:val="3"/>
      </w:pPr>
      <w:r>
        <w:rPr>
          <w:b/>
          <w:bCs/>
        </w:rPr>
        <w:t xml:space="preserve">السيناريو و: الواجهة العصبية-المناعية — الخلايا الدبقية الصغيرة وسلوك المرض</w:t>
      </w:r>
    </w:p>
    <w:p>
      <w:pPr>
        <w:pStyle w:val="FirstParagraph"/>
      </w:pPr>
      <w:r>
        <w:rPr>
          <w:b/>
          <w:bCs/>
        </w:rPr>
        <w:t xml:space="preserve">الطبيعي:</w:t>
      </w:r>
      <w:r>
        <w:t xml:space="preserve"> </w:t>
      </w:r>
      <w:r>
        <w:t xml:space="preserve">الخلايا الدبقية الصغيرة هي البلاعم المقيمة في الدماغ. في وضع المراقبة (متغصّنة)، تُقلّم المشابك أثناء النمو. عند التنشيط (أميبية)، تلتهم الحطام، تُفرز BDNF، وتُحارب عدوى الجهاز العصبي المركزي. السيتوكينات الطرفية (IL-1β، IL-6) تُشير إلى الدماغ عبر العصب المبهم والأعضاء حول البطينية → سلوك المرض (حمى، نوم، فقدان شهية، انسحاب اجتماعي) — استراتيجية توفير طاقة تكيفية.</w:t>
      </w:r>
    </w:p>
    <w:p>
      <w:pPr>
        <w:pStyle w:val="a0"/>
      </w:pPr>
      <w:r>
        <w:rPr>
          <w:b/>
          <w:bCs/>
        </w:rPr>
        <w:t xml:space="preserve">المرضي:</w:t>
      </w:r>
      <w:r>
        <w:t xml:space="preserve"> </w:t>
      </w:r>
      <w:r>
        <w:t xml:space="preserve">-</w:t>
      </w:r>
      <w:r>
        <w:t xml:space="preserve"> </w:t>
      </w:r>
      <w:r>
        <w:rPr>
          <w:b/>
          <w:bCs/>
        </w:rPr>
        <w:t xml:space="preserve">مرض ألزهايمر:</w:t>
      </w:r>
      <w:r>
        <w:t xml:space="preserve"> </w:t>
      </w:r>
      <w:r>
        <w:t xml:space="preserve">الخلايا الدبقية مُنشّطة بلويحات Aβ وتلف عصبي → التهاب عصبي مزمن → إطلاق IL-1β، TNF-α، ROS، وحمض كينولينيك (من مسار الكينورينين) → تنكس عصبي، فقدان مشبكي. التمهيد الدبقي يجعلها مفرطة الاستجابة للإهانات اللاحقة.</w:t>
      </w:r>
      <w:r>
        <w:t xml:space="preserve"> </w:t>
      </w:r>
      <w:r>
        <w:t xml:space="preserve">-</w:t>
      </w:r>
      <w:r>
        <w:t xml:space="preserve"> </w:t>
      </w:r>
      <w:r>
        <w:rPr>
          <w:b/>
          <w:bCs/>
        </w:rPr>
        <w:t xml:space="preserve">الذئبة العصبية النفسية:</w:t>
      </w:r>
      <w:r>
        <w:t xml:space="preserve"> </w:t>
      </w:r>
      <w:r>
        <w:t xml:space="preserve">أضداد NMDA تعبر الحاجز الدموي الدماغي + تنشيط المتممة + تنشيط الخلايا الدبقية الصغيرة → ذهان، نوبات، انحدار إدراكي.</w:t>
      </w:r>
      <w:r>
        <w:t xml:space="preserve"> </w:t>
      </w:r>
      <w:r>
        <w:t xml:space="preserve">-</w:t>
      </w:r>
      <w:r>
        <w:t xml:space="preserve"> </w:t>
      </w:r>
      <w:r>
        <w:rPr>
          <w:b/>
          <w:bCs/>
        </w:rPr>
        <w:t xml:space="preserve">كوفيد الطويل / ME-CFS:</w:t>
      </w:r>
      <w:r>
        <w:t xml:space="preserve"> </w:t>
      </w:r>
      <w:r>
        <w:t xml:space="preserve">تنشيط دبقي ما بعد فيروسي + خلل وظيفي في العصب المبهم + خلل وظيفي ميتوكوندري → ضبابية دماغية، إرهاق، عدم استقرار ذاتي، عدم تحمل الجهد. الثالوث المناعي-الأيضي-العصبي ينهار إلى خلل مزمن.</w:t>
      </w:r>
    </w:p>
    <w:p>
      <w:r>
        <w:pict>
          <v:rect style="width:0;height:1.5pt" o:hralign="center" o:hrstd="t" o:hr="t"/>
        </w:pict>
      </w:r>
    </w:p>
    <w:bookmarkEnd w:id="50"/>
    <w:bookmarkEnd w:id="51"/>
    <w:bookmarkEnd w:id="52"/>
    <w:bookmarkStart w:id="57" w:name="X7ffc2f33698f44f741f57e6c7fb539031c0b4d0"/>
    <w:p>
      <w:pPr>
        <w:pStyle w:val="1"/>
      </w:pPr>
      <w:r>
        <w:t xml:space="preserve">⚖️ الجزء الثالث: الوجهان المزدوجان — جداول التقاء الطبيعي والمرضي</w:t>
      </w:r>
    </w:p>
    <w:bookmarkStart w:id="53" w:name="ثنائيات-هرمونية"/>
    <w:p>
      <w:pPr>
        <w:pStyle w:val="2"/>
      </w:pPr>
      <w:r>
        <w:t xml:space="preserve">🎯 ثنائيات هرمونية</w:t>
      </w:r>
    </w:p>
    <w:tbl>
      <w:tblPr>
        <w:tblStyle w:val="Table"/>
        <w:tblW w:type="pct" w:w="5000"/>
        <w:jc w:val="left"/>
        <w:tblLayout w:type="fixed"/>
        <w:tblLook w:firstRow="1" w:lastRow="0" w:firstColumn="0" w:lastColumn="0" w:noHBand="0" w:noVBand="0" w:val="0020"/>
      </w:tblPr>
      <w:tblGrid>
        <w:gridCol w:w="2244"/>
        <w:gridCol w:w="3168"/>
        <w:gridCol w:w="2508"/>
      </w:tblGrid>
      <w:tr>
        <w:trPr>
          <w:tblHeader w:val="on"/>
        </w:trPr>
        <w:tc>
          <w:tcPr/>
          <w:p>
            <w:pPr>
              <w:pStyle w:val="Compact"/>
              <w:jc w:val="left"/>
            </w:pPr>
            <w:r>
              <w:rPr>
                <w:b/>
                <w:bCs/>
              </w:rPr>
              <w:t xml:space="preserve">النوع الفرعي</w:t>
            </w:r>
          </w:p>
        </w:tc>
        <w:tc>
          <w:tcPr/>
          <w:p>
            <w:pPr>
              <w:pStyle w:val="Compact"/>
              <w:jc w:val="left"/>
            </w:pPr>
            <w:r>
              <w:rPr>
                <w:b/>
                <w:bCs/>
              </w:rPr>
              <w:t xml:space="preserve">الطبيعي (الاستتباب)</w:t>
            </w:r>
          </w:p>
        </w:tc>
        <w:tc>
          <w:tcPr/>
          <w:p>
            <w:pPr>
              <w:pStyle w:val="Compact"/>
              <w:jc w:val="left"/>
            </w:pPr>
            <w:r>
              <w:rPr>
                <w:b/>
                <w:bCs/>
              </w:rPr>
              <w:t xml:space="preserve">المرضي (الخلل)</w:t>
            </w:r>
          </w:p>
        </w:tc>
      </w:tr>
      <w:tr>
        <w:tc>
          <w:tcPr/>
          <w:p>
            <w:pPr>
              <w:pStyle w:val="Compact"/>
              <w:jc w:val="left"/>
            </w:pPr>
            <w:r>
              <w:rPr>
                <w:b/>
                <w:bCs/>
              </w:rPr>
              <w:t xml:space="preserve">محور HPA</w:t>
            </w:r>
          </w:p>
        </w:tc>
        <w:tc>
          <w:tcPr/>
          <w:p>
            <w:pPr>
              <w:pStyle w:val="Compact"/>
              <w:jc w:val="left"/>
            </w:pPr>
            <w:r>
              <w:t xml:space="preserve">ارتفاع حاد للكورتيزول → سكر أعلى، التهاب أقل، تثبيط تغذية راجع يستعيد الأساس خلال ساعات.</w:t>
            </w:r>
          </w:p>
        </w:tc>
        <w:tc>
          <w:tcPr/>
          <w:p>
            <w:pPr>
              <w:pStyle w:val="Compact"/>
              <w:jc w:val="left"/>
            </w:pPr>
            <w:r>
              <w:t xml:space="preserve">تنشيط مزمن → مقاومة GR، ضمور الحصين، سمنة حشائية، متلازمة الأيض، تحول مناعي Th2، قلق/اكتئاب.</w:t>
            </w:r>
          </w:p>
        </w:tc>
      </w:tr>
      <w:tr>
        <w:tc>
          <w:tcPr/>
          <w:p>
            <w:pPr>
              <w:pStyle w:val="Compact"/>
              <w:jc w:val="left"/>
            </w:pPr>
            <w:r>
              <w:rPr>
                <w:b/>
                <w:bCs/>
              </w:rPr>
              <w:t xml:space="preserve">محور الدرقية</w:t>
            </w:r>
          </w:p>
        </w:tc>
        <w:tc>
          <w:tcPr/>
          <w:p>
            <w:pPr>
              <w:pStyle w:val="Compact"/>
              <w:jc w:val="left"/>
            </w:pPr>
            <w:r>
              <w:t xml:space="preserve">T3/T4 مُضبوط بدقة بتغذية راجعة سلبية TSH؛ إنزيمات إزالة اليود تتكيف مع احتياجات النسيج المحلية.</w:t>
            </w:r>
          </w:p>
        </w:tc>
        <w:tc>
          <w:tcPr/>
          <w:p>
            <w:pPr>
              <w:pStyle w:val="Compact"/>
              <w:jc w:val="left"/>
            </w:pPr>
            <w:r>
              <w:t xml:space="preserve">غريفز: فرط درقية + مناعة ذاتية + اعتلال العين. هاشيموتو: قصور درقية + تدمير anti-TPO. الدرقية المرضية السليمة: كبت التحويل بالسيتوكينات.</w:t>
            </w:r>
          </w:p>
        </w:tc>
      </w:tr>
      <w:tr>
        <w:tc>
          <w:tcPr/>
          <w:p>
            <w:pPr>
              <w:pStyle w:val="Compact"/>
              <w:jc w:val="left"/>
            </w:pPr>
            <w:r>
              <w:rPr>
                <w:b/>
                <w:bCs/>
              </w:rPr>
              <w:t xml:space="preserve">محور HPG</w:t>
            </w:r>
          </w:p>
        </w:tc>
        <w:tc>
          <w:tcPr/>
          <w:p>
            <w:pPr>
              <w:pStyle w:val="Compact"/>
              <w:jc w:val="left"/>
            </w:pPr>
            <w:r>
              <w:t xml:space="preserve">بتين مُسمح به، GnRH نبضي، استيرويدات جنسية متوازنة → خصوبة، صحة عظمية، استقرار مزاجي.</w:t>
            </w:r>
          </w:p>
        </w:tc>
        <w:tc>
          <w:tcPr/>
          <w:p>
            <w:pPr>
              <w:pStyle w:val="Compact"/>
              <w:jc w:val="left"/>
            </w:pPr>
            <w:r>
              <w:t xml:space="preserve">PCOS: مقاومة إنسولين + فرط أندروجين + عدم إباضة. انقطاع الطمث الوطائي: عجز طاقي يسكت التكاثر. اليأس: انسحاب الإستروجين → وعائي حراري، فقدان عظم، تحول قلبي وعائي.</w:t>
            </w:r>
          </w:p>
        </w:tc>
      </w:tr>
      <w:tr>
        <w:tc>
          <w:tcPr/>
          <w:p>
            <w:pPr>
              <w:pStyle w:val="Compact"/>
              <w:jc w:val="left"/>
            </w:pPr>
            <w:r>
              <w:rPr>
                <w:b/>
                <w:bCs/>
              </w:rPr>
              <w:t xml:space="preserve">الإنسولين-الغلوكاجون</w:t>
            </w:r>
          </w:p>
        </w:tc>
        <w:tc>
          <w:tcPr/>
          <w:p>
            <w:pPr>
              <w:pStyle w:val="Compact"/>
              <w:jc w:val="left"/>
            </w:pPr>
            <w:r>
              <w:t xml:space="preserve">تخليص جلوكوز ما بعد الأكل عبر GLUT4؛ الحفاظ على الإخراج الكبدي أثناء الصيام. يين ويانغ دقيق.</w:t>
            </w:r>
          </w:p>
        </w:tc>
        <w:tc>
          <w:tcPr/>
          <w:p>
            <w:pPr>
              <w:pStyle w:val="Compact"/>
              <w:jc w:val="left"/>
            </w:pPr>
            <w:r>
              <w:t xml:space="preserve">السكري النوع 1: إبادة مناعية لخلايا بيتا → نقص مطلق، DKA. السكري النوع 2: مقاومة إنسولين + استنفاد بيتا → فرط سكر، تلف أوعية دقيقة، اعتلال عصبي.</w:t>
            </w:r>
          </w:p>
        </w:tc>
      </w:tr>
      <w:tr>
        <w:tc>
          <w:tcPr/>
          <w:p>
            <w:pPr>
              <w:pStyle w:val="Compact"/>
              <w:jc w:val="left"/>
            </w:pPr>
            <w:r>
              <w:rPr>
                <w:b/>
                <w:bCs/>
              </w:rPr>
              <w:t xml:space="preserve">GH-IGF-1</w:t>
            </w:r>
          </w:p>
        </w:tc>
        <w:tc>
          <w:tcPr/>
          <w:p>
            <w:pPr>
              <w:pStyle w:val="Compact"/>
              <w:jc w:val="left"/>
            </w:pPr>
            <w:r>
              <w:t xml:space="preserve">GH ليلي نبضي → نمو طولي، تمثيل بنائي، تحلل دهون. تغذية راجعة سلبية بواسطة IGF-1.</w:t>
            </w:r>
          </w:p>
        </w:tc>
        <w:tc>
          <w:tcPr/>
          <w:p>
            <w:pPr>
              <w:pStyle w:val="Compact"/>
              <w:jc w:val="left"/>
            </w:pPr>
            <w:r>
              <w:t xml:space="preserve">العملقة: ورم GH → تضخم أعضاء، مقاومة إنسولين، انقطاع تنفس، خطر سرطان قولون. نقص GH: سمنة، هشاشة، إرهاق.</w:t>
            </w:r>
          </w:p>
        </w:tc>
      </w:tr>
      <w:tr>
        <w:tc>
          <w:tcPr/>
          <w:p>
            <w:pPr>
              <w:pStyle w:val="Compact"/>
              <w:jc w:val="left"/>
            </w:pPr>
            <w:r>
              <w:rPr>
                <w:b/>
                <w:bCs/>
              </w:rPr>
              <w:t xml:space="preserve">RAAS</w:t>
            </w:r>
          </w:p>
        </w:tc>
        <w:tc>
          <w:tcPr/>
          <w:p>
            <w:pPr>
              <w:pStyle w:val="Compact"/>
              <w:jc w:val="left"/>
            </w:pPr>
            <w:r>
              <w:t xml:space="preserve">استشعار الحجم/الضغط → ألدوستيرون وأنجيوتنسين II يستعيدان ال灌注 دون تضيق وعائي مزمن.</w:t>
            </w:r>
          </w:p>
        </w:tc>
        <w:tc>
          <w:tcPr/>
          <w:p>
            <w:pPr>
              <w:pStyle w:val="Compact"/>
              <w:jc w:val="left"/>
            </w:pPr>
            <w:r>
              <w:t xml:space="preserve">متلازمة كون: ألدوستيرون ذاتي → HTN + نقص K + قلوية أيضية. فرط نشاط مزمن → إعادة تشكيل قلبي، تقدم CKD.</w:t>
            </w:r>
          </w:p>
        </w:tc>
      </w:tr>
      <w:tr>
        <w:tc>
          <w:tcPr/>
          <w:p>
            <w:pPr>
              <w:pStyle w:val="Compact"/>
              <w:jc w:val="left"/>
            </w:pPr>
            <w:r>
              <w:rPr>
                <w:b/>
                <w:bCs/>
              </w:rPr>
              <w:t xml:space="preserve">الأديبوكينات</w:t>
            </w:r>
          </w:p>
        </w:tc>
        <w:tc>
          <w:tcPr/>
          <w:p>
            <w:pPr>
              <w:pStyle w:val="Compact"/>
              <w:jc w:val="left"/>
            </w:pPr>
            <w:r>
              <w:t xml:space="preserve">اللبتين يُشير الشبع؛ الأديبونيكتين يُحسّن حساسية الإنسولين؛ متناسب مع كتلة الدهون.</w:t>
            </w:r>
          </w:p>
        </w:tc>
        <w:tc>
          <w:tcPr/>
          <w:p>
            <w:pPr>
              <w:pStyle w:val="Compact"/>
              <w:jc w:val="left"/>
            </w:pPr>
            <w:r>
              <w:t xml:space="preserve">السمنة: مقاومة لبتين + نقص أديبونيكتين + ارتفاع ريزستين/IL-6 →</w:t>
            </w:r>
            <w:r>
              <w:t xml:space="preserve"> </w:t>
            </w:r>
            <w:r>
              <w:t xml:space="preserve">“</w:t>
            </w:r>
            <w:r>
              <w:t xml:space="preserve">إشارة جوع مُتجاهلة</w:t>
            </w:r>
            <w:r>
              <w:t xml:space="preserve">”</w:t>
            </w:r>
            <w:r>
              <w:t xml:space="preserve"> </w:t>
            </w:r>
            <w:r>
              <w:t xml:space="preserve">+ التهابي + مقاوم إنسولين.</w:t>
            </w:r>
          </w:p>
        </w:tc>
      </w:tr>
    </w:tbl>
    <w:p>
      <w:r>
        <w:pict>
          <v:rect style="width:0;height:1.5pt" o:hralign="center" o:hrstd="t" o:hr="t"/>
        </w:pict>
      </w:r>
    </w:p>
    <w:bookmarkEnd w:id="53"/>
    <w:bookmarkStart w:id="54" w:name="ثنائيات-نواقل-عصبية"/>
    <w:p>
      <w:pPr>
        <w:pStyle w:val="2"/>
      </w:pPr>
      <w:r>
        <w:t xml:space="preserve">⚡ ثنائيات نواقل عصبية</w:t>
      </w:r>
    </w:p>
    <w:tbl>
      <w:tblPr>
        <w:tblStyle w:val="Table"/>
        <w:tblW w:type="pct" w:w="5000"/>
        <w:jc w:val="left"/>
        <w:tblLayout w:type="fixed"/>
        <w:tblLook w:firstRow="1" w:lastRow="0" w:firstColumn="0" w:lastColumn="0" w:noHBand="0" w:noVBand="0" w:val="0020"/>
      </w:tblPr>
      <w:tblGrid>
        <w:gridCol w:w="1602"/>
        <w:gridCol w:w="2828"/>
        <w:gridCol w:w="3488"/>
      </w:tblGrid>
      <w:tr>
        <w:trPr>
          <w:tblHeader w:val="on"/>
        </w:trPr>
        <w:tc>
          <w:tcPr/>
          <w:p>
            <w:pPr>
              <w:pStyle w:val="Compact"/>
              <w:jc w:val="left"/>
            </w:pPr>
            <w:r>
              <w:rPr>
                <w:b/>
                <w:bCs/>
              </w:rPr>
              <w:t xml:space="preserve">النوع الفرعي</w:t>
            </w:r>
          </w:p>
        </w:tc>
        <w:tc>
          <w:tcPr/>
          <w:p>
            <w:pPr>
              <w:pStyle w:val="Compact"/>
              <w:jc w:val="left"/>
            </w:pPr>
            <w:r>
              <w:rPr>
                <w:b/>
                <w:bCs/>
              </w:rPr>
              <w:t xml:space="preserve">الطبيعي (الانسجام المشبكي)</w:t>
            </w:r>
          </w:p>
        </w:tc>
        <w:tc>
          <w:tcPr/>
          <w:p>
            <w:pPr>
              <w:pStyle w:val="Compact"/>
              <w:jc w:val="left"/>
            </w:pPr>
            <w:r>
              <w:rPr>
                <w:b/>
                <w:bCs/>
              </w:rPr>
              <w:t xml:space="preserve">المرضي (الفوضى العصبية الكيميائية)</w:t>
            </w:r>
          </w:p>
        </w:tc>
      </w:tr>
      <w:tr>
        <w:tc>
          <w:tcPr/>
          <w:p>
            <w:pPr>
              <w:pStyle w:val="Compact"/>
              <w:jc w:val="left"/>
            </w:pPr>
            <w:r>
              <w:rPr>
                <w:b/>
                <w:bCs/>
              </w:rPr>
              <w:t xml:space="preserve">المونوأميني</w:t>
            </w:r>
          </w:p>
        </w:tc>
        <w:tc>
          <w:tcPr/>
          <w:p>
            <w:pPr>
              <w:pStyle w:val="Compact"/>
              <w:jc w:val="left"/>
            </w:pPr>
            <w:r>
              <w:t xml:space="preserve">دوبامين متوازن (مكافأة/حركة)، 5-HT (مزاج/نوم)، NE (استثارة). التريبتوفان يُفضّل صناعة السيروتونين.</w:t>
            </w:r>
          </w:p>
        </w:tc>
        <w:tc>
          <w:tcPr/>
          <w:p>
            <w:pPr>
              <w:pStyle w:val="Compact"/>
              <w:jc w:val="left"/>
            </w:pPr>
            <w:r>
              <w:t xml:space="preserve">باركنسون: موت خلايا DA (ميتوكوندري + تكتل بروتيني). اكتئاب: استنزاف 5-HT/NE + تحويل مناعي IDO للتريبتوفان. فصام: خلل DA + نقص جلوتامات.</w:t>
            </w:r>
          </w:p>
        </w:tc>
      </w:tr>
      <w:tr>
        <w:tc>
          <w:tcPr/>
          <w:p>
            <w:pPr>
              <w:pStyle w:val="Compact"/>
              <w:jc w:val="left"/>
            </w:pPr>
            <w:r>
              <w:rPr>
                <w:b/>
                <w:bCs/>
              </w:rPr>
              <w:t xml:space="preserve">الكوليني</w:t>
            </w:r>
          </w:p>
        </w:tc>
        <w:tc>
          <w:tcPr/>
          <w:p>
            <w:pPr>
              <w:pStyle w:val="Compact"/>
              <w:jc w:val="left"/>
            </w:pPr>
            <w:r>
              <w:t xml:space="preserve">ACh القاعدية الأمامية تدعم الذاكرة؛ ACh الوصلة العصبية العضلية يُحفّز انقباضاً دقيقاً؛ ACh المبهم يكبت TNF-α البلعمي.</w:t>
            </w:r>
          </w:p>
        </w:tc>
        <w:tc>
          <w:tcPr/>
          <w:p>
            <w:pPr>
              <w:pStyle w:val="Compact"/>
              <w:jc w:val="left"/>
            </w:pPr>
            <w:r>
              <w:t xml:space="preserve">ألزهايمر: فقدان خلايا كولينية → انهيار ذاكرة. الوهن العضلي: أضداد anti-AChR → ضعف عضلي متذبذب. المبيدات: تثبيط AChE → أزمة كولينية/SLUDGE.</w:t>
            </w:r>
          </w:p>
        </w:tc>
      </w:tr>
      <w:tr>
        <w:tc>
          <w:tcPr/>
          <w:p>
            <w:pPr>
              <w:pStyle w:val="Compact"/>
              <w:jc w:val="left"/>
            </w:pPr>
            <w:r>
              <w:rPr>
                <w:b/>
                <w:bCs/>
              </w:rPr>
              <w:t xml:space="preserve">الجلوتامات/GABA</w:t>
            </w:r>
          </w:p>
        </w:tc>
        <w:tc>
          <w:tcPr/>
          <w:p>
            <w:pPr>
              <w:pStyle w:val="Compact"/>
              <w:jc w:val="left"/>
            </w:pPr>
            <w:r>
              <w:t xml:space="preserve">توازن الت excitation/التثبيط. NMDA يُوسط المرونة؛ GABA يمنع الإطلاق الجامح.</w:t>
            </w:r>
          </w:p>
        </w:tc>
        <w:tc>
          <w:tcPr/>
          <w:p>
            <w:pPr>
              <w:pStyle w:val="Compact"/>
              <w:jc w:val="left"/>
            </w:pPr>
            <w:r>
              <w:t xml:space="preserve">السمية الت excitatory: فيضان الجلوتامات بعد السكتة → طغيان Ca²⁺ → موت عصبي. صرع: خلل E/I → نوبات متزامنة. غيبوبة كبدية: الأمونيا يُعطل الجلوتامات/GABA → غيبوبة.</w:t>
            </w:r>
          </w:p>
        </w:tc>
      </w:tr>
      <w:tr>
        <w:tc>
          <w:tcPr/>
          <w:p>
            <w:pPr>
              <w:pStyle w:val="Compact"/>
              <w:jc w:val="left"/>
            </w:pPr>
            <w:r>
              <w:rPr>
                <w:b/>
                <w:bCs/>
              </w:rPr>
              <w:t xml:space="preserve">ال endocannabinoid</w:t>
            </w:r>
          </w:p>
        </w:tc>
        <w:tc>
          <w:tcPr/>
          <w:p>
            <w:pPr>
              <w:pStyle w:val="Compact"/>
              <w:jc w:val="left"/>
            </w:pPr>
            <w:r>
              <w:t xml:space="preserve">رسولون ليبيديان رجعيان عند الطلب يُعدّلان قوة المشبك، الشهية، الألم.</w:t>
            </w:r>
          </w:p>
        </w:tc>
        <w:tc>
          <w:tcPr/>
          <w:p>
            <w:pPr>
              <w:pStyle w:val="Compact"/>
              <w:jc w:val="left"/>
            </w:pPr>
            <w:r>
              <w:t xml:space="preserve">القيء الكانابينويدي: THC مزمن → قيء مفارق. سمنة: تنشيط زائد لـ CB1 يُعزز تكون الدهون؛ الحجب يسبب آثاراً نفسية.</w:t>
            </w:r>
          </w:p>
        </w:tc>
      </w:tr>
      <w:tr>
        <w:tc>
          <w:tcPr/>
          <w:p>
            <w:pPr>
              <w:pStyle w:val="Compact"/>
              <w:jc w:val="left"/>
            </w:pPr>
            <w:r>
              <w:rPr>
                <w:b/>
                <w:bCs/>
              </w:rPr>
              <w:t xml:space="preserve">الببتيدات العصبية</w:t>
            </w:r>
          </w:p>
        </w:tc>
        <w:tc>
          <w:tcPr/>
          <w:p>
            <w:pPr>
              <w:pStyle w:val="Compact"/>
              <w:jc w:val="left"/>
            </w:pPr>
            <w:r>
              <w:t xml:space="preserve">الأوكسيتوسين يربط؛ الفازوبريسين يحفظ الماء؛ المادة P ينقل الألم.</w:t>
            </w:r>
          </w:p>
        </w:tc>
        <w:tc>
          <w:tcPr/>
          <w:p>
            <w:pPr>
              <w:pStyle w:val="Compact"/>
              <w:jc w:val="left"/>
            </w:pPr>
            <w:r>
              <w:t xml:space="preserve">السكري الكاذب: فشل ADH → بولية مفرطة. SIADH: فائض ADH → نقص صوديوم مخفف. ألم مزمن: المادة P يُدام الالتهاب العصبي المنشأ.</w:t>
            </w:r>
          </w:p>
        </w:tc>
      </w:tr>
      <w:tr>
        <w:tc>
          <w:tcPr/>
          <w:p>
            <w:pPr>
              <w:pStyle w:val="Compact"/>
              <w:jc w:val="left"/>
            </w:pPr>
            <w:r>
              <w:rPr>
                <w:b/>
                <w:bCs/>
              </w:rPr>
              <w:t xml:space="preserve">البيورينية</w:t>
            </w:r>
          </w:p>
        </w:tc>
        <w:tc>
          <w:tcPr/>
          <w:p>
            <w:pPr>
              <w:pStyle w:val="Compact"/>
              <w:jc w:val="left"/>
            </w:pPr>
            <w:r>
              <w:t xml:space="preserve">ATP نقل مشترك؛ الأدينوسين يتراكم مع استخدام الطاقة → يُعزز النوم والمضادة للالتهاب.</w:t>
            </w:r>
          </w:p>
        </w:tc>
        <w:tc>
          <w:tcPr/>
          <w:p>
            <w:pPr>
              <w:pStyle w:val="Compact"/>
              <w:jc w:val="left"/>
            </w:pPr>
            <w:r>
              <w:t xml:space="preserve">النقرس: بلورات حمض البوليك تُحفّز NLRP3 → عاصفة IL-1β. إقفار: ATP خارج خلوي يُنشّط P2X7 الدبقية → التهاب عصبي. الكافيين يحجب A2A → يمنع ضغط النوم الأدينوسيني.</w:t>
            </w:r>
          </w:p>
        </w:tc>
      </w:tr>
    </w:tbl>
    <w:p>
      <w:r>
        <w:pict>
          <v:rect style="width:0;height:1.5pt" o:hralign="center" o:hrstd="t" o:hr="t"/>
        </w:pict>
      </w:r>
    </w:p>
    <w:bookmarkEnd w:id="54"/>
    <w:bookmarkStart w:id="55" w:name="ثنائيات-أيضية"/>
    <w:p>
      <w:pPr>
        <w:pStyle w:val="2"/>
      </w:pPr>
      <w:r>
        <w:t xml:space="preserve">🔄 ثنائيات أيضية</w:t>
      </w:r>
    </w:p>
    <w:tbl>
      <w:tblPr>
        <w:tblStyle w:val="Table"/>
        <w:tblW w:type="pct" w:w="5000"/>
        <w:jc w:val="left"/>
        <w:tblLayout w:type="fixed"/>
        <w:tblLook w:firstRow="1" w:lastRow="0" w:firstColumn="0" w:lastColumn="0" w:noHBand="0" w:noVBand="0" w:val="0020"/>
      </w:tblPr>
      <w:tblGrid>
        <w:gridCol w:w="1819"/>
        <w:gridCol w:w="3210"/>
        <w:gridCol w:w="2889"/>
      </w:tblGrid>
      <w:tr>
        <w:trPr>
          <w:tblHeader w:val="on"/>
        </w:trPr>
        <w:tc>
          <w:tcPr/>
          <w:p>
            <w:pPr>
              <w:pStyle w:val="Compact"/>
              <w:jc w:val="left"/>
            </w:pPr>
            <w:r>
              <w:rPr>
                <w:b/>
                <w:bCs/>
              </w:rPr>
              <w:t xml:space="preserve">النوع الفرعي</w:t>
            </w:r>
          </w:p>
        </w:tc>
        <w:tc>
          <w:tcPr/>
          <w:p>
            <w:pPr>
              <w:pStyle w:val="Compact"/>
              <w:jc w:val="left"/>
            </w:pPr>
            <w:r>
              <w:rPr>
                <w:b/>
                <w:bCs/>
              </w:rPr>
              <w:t xml:space="preserve">الطبيعي (المرونة الأيضية)</w:t>
            </w:r>
          </w:p>
        </w:tc>
        <w:tc>
          <w:tcPr/>
          <w:p>
            <w:pPr>
              <w:pStyle w:val="Compact"/>
              <w:jc w:val="left"/>
            </w:pPr>
            <w:r>
              <w:rPr>
                <w:b/>
                <w:bCs/>
              </w:rPr>
              <w:t xml:space="preserve">المرضي (الجمود الأيضي)</w:t>
            </w:r>
          </w:p>
        </w:tc>
      </w:tr>
      <w:tr>
        <w:tc>
          <w:tcPr/>
          <w:p>
            <w:pPr>
              <w:pStyle w:val="Compact"/>
              <w:jc w:val="left"/>
            </w:pPr>
            <w:r>
              <w:rPr>
                <w:b/>
                <w:bCs/>
              </w:rPr>
              <w:t xml:space="preserve">أكسدة الجلوكوز</w:t>
            </w:r>
          </w:p>
        </w:tc>
        <w:tc>
          <w:tcPr/>
          <w:p>
            <w:pPr>
              <w:pStyle w:val="Compact"/>
              <w:jc w:val="left"/>
            </w:pPr>
            <w:r>
              <w:t xml:space="preserve">OXPHOS فعال (~36 ATP/جلوكوز). الأكسجين مستقبل نهائي. مرونة أيضية بين كربوهيدرات/دهون.</w:t>
            </w:r>
          </w:p>
        </w:tc>
        <w:tc>
          <w:tcPr/>
          <w:p>
            <w:pPr>
              <w:pStyle w:val="Compact"/>
              <w:jc w:val="left"/>
            </w:pPr>
            <w:r>
              <w:t xml:space="preserve">مرض ميتوكوندري: فشل OXPHOS → حماض لبني. سرطان: تأثير واربورغ (تحلل سكري هوائي) رغم الأكسجين. إنتان: نقص الأكسجة الخلوي المرضي → انهيار ATP.</w:t>
            </w:r>
          </w:p>
        </w:tc>
      </w:tr>
      <w:tr>
        <w:tc>
          <w:tcPr/>
          <w:p>
            <w:pPr>
              <w:pStyle w:val="Compact"/>
              <w:jc w:val="left"/>
            </w:pPr>
            <w:r>
              <w:rPr>
                <w:b/>
                <w:bCs/>
              </w:rPr>
              <w:t xml:space="preserve">أيض الدهون</w:t>
            </w:r>
          </w:p>
        </w:tc>
        <w:tc>
          <w:tcPr/>
          <w:p>
            <w:pPr>
              <w:pStyle w:val="Compact"/>
              <w:jc w:val="left"/>
            </w:pPr>
            <w:r>
              <w:t xml:space="preserve">تحلل دهون الصيام → β-أكسدة → تكوين كيتون يُغذي الدماغ. الإنسولين يكبت HSL عند الأكل.</w:t>
            </w:r>
          </w:p>
        </w:tc>
        <w:tc>
          <w:tcPr/>
          <w:p>
            <w:pPr>
              <w:pStyle w:val="Compact"/>
              <w:jc w:val="left"/>
            </w:pPr>
            <w:r>
              <w:t xml:space="preserve">سمنة/NAFLD: تحلل دهون مقاوم للإنسولين → تسرب كبدي → NASH → تليف. DKA: تكوين كيتونات غير مضبوط → حماض مهدد للحياة. نقص كارنيتين: FAO محجوب → نقص سكر كيتوني.</w:t>
            </w:r>
          </w:p>
        </w:tc>
      </w:tr>
      <w:tr>
        <w:tc>
          <w:tcPr/>
          <w:p>
            <w:pPr>
              <w:pStyle w:val="Compact"/>
              <w:jc w:val="left"/>
            </w:pPr>
            <w:r>
              <w:rPr>
                <w:b/>
                <w:bCs/>
              </w:rPr>
              <w:t xml:space="preserve">أحماض أمينية/يوريا</w:t>
            </w:r>
          </w:p>
        </w:tc>
        <w:tc>
          <w:tcPr/>
          <w:p>
            <w:pPr>
              <w:pStyle w:val="Compact"/>
              <w:jc w:val="left"/>
            </w:pPr>
            <w:r>
              <w:t xml:space="preserve">تخليق بروتين أولوية؛ الفائض يُزال أمينياً بأمان إلى يوريا. BCAA تُأكسد في العضلة.</w:t>
            </w:r>
          </w:p>
        </w:tc>
        <w:tc>
          <w:tcPr/>
          <w:p>
            <w:pPr>
              <w:pStyle w:val="Compact"/>
              <w:jc w:val="left"/>
            </w:pPr>
            <w:r>
              <w:t xml:space="preserve">عيوب دورة اليوريا: فرط أمونيا → غيبوبة، وذمة دماغية. PKU: فينيل ألانين سام → إعاقة ذهنية. MSUD: تراكم BCAA → تلف دماغي.</w:t>
            </w:r>
          </w:p>
        </w:tc>
      </w:tr>
      <w:tr>
        <w:tc>
          <w:tcPr/>
          <w:p>
            <w:pPr>
              <w:pStyle w:val="Compact"/>
              <w:jc w:val="left"/>
            </w:pPr>
            <w:r>
              <w:rPr>
                <w:b/>
                <w:bCs/>
              </w:rPr>
              <w:t xml:space="preserve">مسار بنتوز الفوسفات</w:t>
            </w:r>
          </w:p>
        </w:tc>
        <w:tc>
          <w:tcPr/>
          <w:p>
            <w:pPr>
              <w:pStyle w:val="Compact"/>
              <w:jc w:val="left"/>
            </w:pPr>
            <w:r>
              <w:t xml:space="preserve">يُنتج NADPH للدفاع المضاد للأكسدة والريبوز لتخليق النوكليوتيدات. حيوي في كريات الدم الحمراء.</w:t>
            </w:r>
          </w:p>
        </w:tc>
        <w:tc>
          <w:tcPr/>
          <w:p>
            <w:pPr>
              <w:pStyle w:val="Compact"/>
              <w:jc w:val="left"/>
            </w:pPr>
            <w:r>
              <w:t xml:space="preserve">نقص G6PD: كريات الدم الحمراء لا تتحمل الإجهاد التأكسدي → فقر دم انحلالي (فول، أدوية). سرطان: PPP مُعلّى للتكاثر والدفاع ضد ROS.</w:t>
            </w:r>
          </w:p>
        </w:tc>
      </w:tr>
      <w:tr>
        <w:tc>
          <w:tcPr/>
          <w:p>
            <w:pPr>
              <w:pStyle w:val="Compact"/>
              <w:jc w:val="left"/>
            </w:pPr>
            <w:r>
              <w:rPr>
                <w:b/>
                <w:bCs/>
              </w:rPr>
              <w:t xml:space="preserve">كربون واحد/ميثيلة</w:t>
            </w:r>
          </w:p>
        </w:tc>
        <w:tc>
          <w:tcPr/>
          <w:p>
            <w:pPr>
              <w:pStyle w:val="Compact"/>
              <w:jc w:val="left"/>
            </w:pPr>
            <w:r>
              <w:t xml:space="preserve">SAM يتبرع بمجموعات ميثيل لـ DNA، نواقل عصبية، فوسفوليبيدات. يعتمد على فولات/B12.</w:t>
            </w:r>
          </w:p>
        </w:tc>
        <w:tc>
          <w:tcPr/>
          <w:p>
            <w:pPr>
              <w:pStyle w:val="Compact"/>
              <w:jc w:val="left"/>
            </w:pPr>
            <w:r>
              <w:t xml:space="preserve">فرط حمض الهوموسيستين: تلف بطانة، خثار، أمراض قلبية، عيوب أنبوب عصبي. فقر دم ضخم الأرومات: فشل تخليق DNA → نقص كلي. نقص B12: تنكس تحت حاد للنخاع.</w:t>
            </w:r>
          </w:p>
        </w:tc>
      </w:tr>
      <w:tr>
        <w:tc>
          <w:tcPr/>
          <w:p>
            <w:pPr>
              <w:pStyle w:val="Compact"/>
              <w:jc w:val="left"/>
            </w:pPr>
            <w:r>
              <w:rPr>
                <w:b/>
                <w:bCs/>
              </w:rPr>
              <w:t xml:space="preserve">أيض الخلايا المناعية</w:t>
            </w:r>
          </w:p>
        </w:tc>
        <w:tc>
          <w:tcPr/>
          <w:p>
            <w:pPr>
              <w:pStyle w:val="Compact"/>
              <w:jc w:val="left"/>
            </w:pPr>
            <w:r>
              <w:t xml:space="preserve">راكدة: OXPHOS. فعالة: تحلل سكري هوائي (واربورغ) لحيوية سريعة. Treg/ذاكرة: FAO.</w:t>
            </w:r>
          </w:p>
        </w:tc>
        <w:tc>
          <w:tcPr/>
          <w:p>
            <w:pPr>
              <w:pStyle w:val="Compact"/>
              <w:jc w:val="left"/>
            </w:pPr>
            <w:r>
              <w:t xml:space="preserve">شلل إنتاني: تحول لـ OXPHOS شبيه بـ M2 → فشل في إزالة العدوى. بيئة ورم: اللاكتات يُحوّل TAMs إلى M2 كبت مناعي. مناعة ذاتية: استمرار تحللي سكري للخلايا T المُتفاعلة ذاتياً.</w:t>
            </w:r>
          </w:p>
        </w:tc>
      </w:tr>
    </w:tbl>
    <w:p>
      <w:r>
        <w:pict>
          <v:rect style="width:0;height:1.5pt" o:hralign="center" o:hrstd="t" o:hr="t"/>
        </w:pict>
      </w:r>
    </w:p>
    <w:bookmarkEnd w:id="55"/>
    <w:bookmarkStart w:id="56" w:name="ثنائيات-مناعية"/>
    <w:p>
      <w:pPr>
        <w:pStyle w:val="2"/>
      </w:pPr>
      <w:r>
        <w:t xml:space="preserve">🛡️ ثنائيات مناعية</w:t>
      </w:r>
    </w:p>
    <w:tbl>
      <w:tblPr>
        <w:tblStyle w:val="Table"/>
        <w:tblW w:type="pct" w:w="5000"/>
        <w:jc w:val="left"/>
        <w:tblLayout w:type="fixed"/>
        <w:tblLook w:firstRow="1" w:lastRow="0" w:firstColumn="0" w:lastColumn="0" w:noHBand="0" w:noVBand="0" w:val="0020"/>
      </w:tblPr>
      <w:tblGrid>
        <w:gridCol w:w="1819"/>
        <w:gridCol w:w="3210"/>
        <w:gridCol w:w="2889"/>
      </w:tblGrid>
      <w:tr>
        <w:trPr>
          <w:tblHeader w:val="on"/>
        </w:trPr>
        <w:tc>
          <w:tcPr/>
          <w:p>
            <w:pPr>
              <w:pStyle w:val="Compact"/>
              <w:jc w:val="left"/>
            </w:pPr>
            <w:r>
              <w:rPr>
                <w:b/>
                <w:bCs/>
              </w:rPr>
              <w:t xml:space="preserve">النوع الفرعي</w:t>
            </w:r>
          </w:p>
        </w:tc>
        <w:tc>
          <w:tcPr/>
          <w:p>
            <w:pPr>
              <w:pStyle w:val="Compact"/>
              <w:jc w:val="left"/>
            </w:pPr>
            <w:r>
              <w:rPr>
                <w:b/>
                <w:bCs/>
              </w:rPr>
              <w:t xml:space="preserve">الطبيعي (الدقة الدفاعية)</w:t>
            </w:r>
          </w:p>
        </w:tc>
        <w:tc>
          <w:tcPr/>
          <w:p>
            <w:pPr>
              <w:pStyle w:val="Compact"/>
              <w:jc w:val="left"/>
            </w:pPr>
            <w:r>
              <w:rPr>
                <w:b/>
                <w:bCs/>
              </w:rPr>
              <w:t xml:space="preserve">المرضي (الخلل المناعي)</w:t>
            </w:r>
          </w:p>
        </w:tc>
      </w:tr>
      <w:tr>
        <w:tc>
          <w:tcPr/>
          <w:p>
            <w:pPr>
              <w:pStyle w:val="Compact"/>
              <w:jc w:val="left"/>
            </w:pPr>
            <w:r>
              <w:rPr>
                <w:b/>
                <w:bCs/>
              </w:rPr>
              <w:t xml:space="preserve">الالتهاب الفطري</w:t>
            </w:r>
          </w:p>
        </w:tc>
        <w:tc>
          <w:tcPr/>
          <w:p>
            <w:pPr>
              <w:pStyle w:val="Compact"/>
              <w:jc w:val="left"/>
            </w:pPr>
            <w:r>
              <w:t xml:space="preserve">TLRs تكتشف الخطر → NF-κB/IRF3 → سيتوكينات → استدعاء عدلات → انحلال. يُقيّد ذاتياً.</w:t>
            </w:r>
          </w:p>
        </w:tc>
        <w:tc>
          <w:tcPr/>
          <w:p>
            <w:pPr>
              <w:pStyle w:val="Compact"/>
              <w:jc w:val="left"/>
            </w:pPr>
            <w:r>
              <w:t xml:space="preserve">إنتان/SIRS: عاصفة سيتوكينية → تسرب شعري، تخثر منتشر، فشل عضوي. التهابي ذاتي: طفرات inflammasome → فرط IL-1β. شيخوخة التهابية: التهاب مزمن منخفض → تصلب، مقاومة إنسولين.</w:t>
            </w:r>
          </w:p>
        </w:tc>
      </w:tr>
      <w:tr>
        <w:tc>
          <w:tcPr/>
          <w:p>
            <w:pPr>
              <w:pStyle w:val="Compact"/>
              <w:jc w:val="left"/>
            </w:pPr>
            <w:r>
              <w:rPr>
                <w:b/>
                <w:bCs/>
              </w:rPr>
              <w:t xml:space="preserve">الخلوي التكيفي</w:t>
            </w:r>
          </w:p>
        </w:tc>
        <w:tc>
          <w:tcPr/>
          <w:p>
            <w:pPr>
              <w:pStyle w:val="Compact"/>
              <w:jc w:val="left"/>
            </w:pPr>
            <w:r>
              <w:t xml:space="preserve">تمييز APC-TCR → توازن Th1/Th2/Th17/Treg → قتل CTL. التسامح يمنع الذاتية.</w:t>
            </w:r>
          </w:p>
        </w:tc>
        <w:tc>
          <w:tcPr/>
          <w:p>
            <w:pPr>
              <w:pStyle w:val="Compact"/>
              <w:jc w:val="left"/>
            </w:pPr>
            <w:r>
              <w:t xml:space="preserve">HIV: استنزاف CD4+ → إيدز. التصلب المتعدد: Th1/Th17 ضد الميالين → فقدان الميالين. GVHD: خلايا T متبرع تهاجم أنسجة مضيف.</w:t>
            </w:r>
          </w:p>
        </w:tc>
      </w:tr>
      <w:tr>
        <w:tc>
          <w:tcPr/>
          <w:p>
            <w:pPr>
              <w:pStyle w:val="Compact"/>
              <w:jc w:val="left"/>
            </w:pPr>
            <w:r>
              <w:rPr>
                <w:b/>
                <w:bCs/>
              </w:rPr>
              <w:t xml:space="preserve">الخلوي السائل</w:t>
            </w:r>
          </w:p>
        </w:tc>
        <w:tc>
          <w:tcPr/>
          <w:p>
            <w:pPr>
              <w:pStyle w:val="Compact"/>
              <w:jc w:val="left"/>
            </w:pPr>
            <w:r>
              <w:t xml:space="preserve">نضج مركز جرثومي → أضداد عالية الارتباط + ذاكرة. تنشيط متممة كلاسيكي.</w:t>
            </w:r>
          </w:p>
        </w:tc>
        <w:tc>
          <w:tcPr/>
          <w:p>
            <w:pPr>
              <w:pStyle w:val="Compact"/>
              <w:jc w:val="left"/>
            </w:pPr>
            <w:r>
              <w:t xml:space="preserve">الذئبة: أضداد anti-dsDNA → التهاب كلى معقدات مناعية. CVID: فشل تمايز خلايا بلازما → نقص غاماغلوبولين. برانيوبلازمي: أضداد عصبية → تنكس مخيخي.</w:t>
            </w:r>
          </w:p>
        </w:tc>
      </w:tr>
      <w:tr>
        <w:tc>
          <w:tcPr/>
          <w:p>
            <w:pPr>
              <w:pStyle w:val="Compact"/>
              <w:jc w:val="left"/>
            </w:pPr>
            <w:r>
              <w:rPr>
                <w:b/>
                <w:bCs/>
              </w:rPr>
              <w:t xml:space="preserve">شبكة السيتوكينات</w:t>
            </w:r>
          </w:p>
        </w:tc>
        <w:tc>
          <w:tcPr/>
          <w:p>
            <w:pPr>
              <w:pStyle w:val="Compact"/>
              <w:jc w:val="left"/>
            </w:pPr>
            <w:r>
              <w:t xml:space="preserve">IL-2 يُحرّك التكاثر؛ IFN-γ يُنشّط البلاعم؛ IL-10 يُحل الالتهاب. دردشة ديناميكية.</w:t>
            </w:r>
          </w:p>
        </w:tc>
        <w:tc>
          <w:tcPr/>
          <w:p>
            <w:pPr>
              <w:pStyle w:val="Compact"/>
              <w:jc w:val="left"/>
            </w:pPr>
            <w:r>
              <w:t xml:space="preserve">CRS (CAR-T): تسونامي IL-6/IL-1β → حمى، صدمة، سمية. MAS: التهام دم، فرط فيريتين. اكتئاب: IL-6/TNF-α → سلوك المرض، مقاومة علاج.</w:t>
            </w:r>
          </w:p>
        </w:tc>
      </w:tr>
      <w:tr>
        <w:tc>
          <w:tcPr/>
          <w:p>
            <w:pPr>
              <w:pStyle w:val="Compact"/>
              <w:jc w:val="left"/>
            </w:pPr>
            <w:r>
              <w:rPr>
                <w:b/>
                <w:bCs/>
              </w:rPr>
              <w:t xml:space="preserve">سلسلة المتممة</w:t>
            </w:r>
          </w:p>
        </w:tc>
        <w:tc>
          <w:tcPr/>
          <w:p>
            <w:pPr>
              <w:pStyle w:val="Compact"/>
              <w:jc w:val="left"/>
            </w:pPr>
            <w:r>
              <w:t xml:space="preserve">ثلاثة مسارات تلتقي على C3 → تسبيغ، كيمياء attractية، MAC. مضبوطة بدقة.</w:t>
            </w:r>
          </w:p>
        </w:tc>
        <w:tc>
          <w:tcPr/>
          <w:p>
            <w:pPr>
              <w:pStyle w:val="Compact"/>
              <w:jc w:val="left"/>
            </w:pPr>
            <w:r>
              <w:t xml:space="preserve">HAE: فقدان C1-INH → تورم براديكينين (ليس هيستامين!). PNH: فقدان CD55/59 → تحلل متممة لكريات الدم الحمراء، خثار. HUS غير نمطي: فشل منظم متممة → فقر دم انحلالي، فشل كلوي.</w:t>
            </w:r>
          </w:p>
        </w:tc>
      </w:tr>
      <w:tr>
        <w:tc>
          <w:tcPr/>
          <w:p>
            <w:pPr>
              <w:pStyle w:val="Compact"/>
              <w:jc w:val="left"/>
            </w:pPr>
            <w:r>
              <w:rPr>
                <w:b/>
                <w:bCs/>
              </w:rPr>
              <w:t xml:space="preserve">الواجهة العصبية-المناعية</w:t>
            </w:r>
          </w:p>
        </w:tc>
        <w:tc>
          <w:tcPr/>
          <w:p>
            <w:pPr>
              <w:pStyle w:val="Compact"/>
              <w:jc w:val="left"/>
            </w:pPr>
            <w:r>
              <w:t xml:space="preserve">الخلايا الدبقية تُقلّم/تراقب. السيتوكينات الطرفية تُحفّز سلوك المرض التكيفي. ACh المبهم يكبت الالتهاب.</w:t>
            </w:r>
          </w:p>
        </w:tc>
        <w:tc>
          <w:tcPr/>
          <w:p>
            <w:pPr>
              <w:pStyle w:val="Compact"/>
              <w:jc w:val="left"/>
            </w:pPr>
            <w:r>
              <w:t xml:space="preserve">ألزهايمر: ADB يُنشّط الدبقية → التهاب عصبي مزمن، حمض كينولينيك. NPSLE: أضداد + متممة + دبقية → ذهان، نوبات. كوفيد طويل: تمهيد دبقي + خلل ميتوكوندري → ضبابية، إرهاق.</w:t>
            </w:r>
          </w:p>
        </w:tc>
      </w:tr>
    </w:tbl>
    <w:p>
      <w:r>
        <w:pict>
          <v:rect style="width:0;height:1.5pt" o:hralign="center" o:hrstd="t" o:hr="t"/>
        </w:pict>
      </w:r>
    </w:p>
    <w:bookmarkEnd w:id="56"/>
    <w:bookmarkEnd w:id="57"/>
    <w:bookmarkStart w:id="59" w:name="X5162289d79826c5a22f380e0bcaae533a6456e4"/>
    <w:p>
      <w:pPr>
        <w:pStyle w:val="1"/>
      </w:pPr>
      <w:r>
        <w:t xml:space="preserve">🎭 التركيبة النهائية:</w:t>
      </w:r>
      <w:r>
        <w:t xml:space="preserve"> </w:t>
      </w:r>
      <w:r>
        <w:rPr>
          <w:i/>
          <w:iCs/>
        </w:rPr>
        <w:t xml:space="preserve">لماذا لا تكون الباثولوجيا أبداً مملكة واحدة فقط</w:t>
      </w:r>
    </w:p>
    <w:p>
      <w:pPr>
        <w:pStyle w:val="aa"/>
      </w:pPr>
      <w:r>
        <w:rPr>
          <w:i/>
          <w:iCs/>
        </w:rPr>
        <w:t xml:space="preserve">“</w:t>
      </w:r>
      <w:r>
        <w:rPr>
          <w:i/>
          <w:iCs/>
        </w:rPr>
        <w:t xml:space="preserve">عندما يضرب المرض، لا يكون مسار واحد هو الذي يسقط. إنه</w:t>
      </w:r>
      <w:r>
        <w:rPr>
          <w:i/>
          <w:iCs/>
        </w:rPr>
        <w:t xml:space="preserve"> </w:t>
      </w:r>
      <w:r>
        <w:rPr>
          <w:b/>
          <w:bCs/>
          <w:i/>
          <w:iCs/>
        </w:rPr>
        <w:t xml:space="preserve">التزامن</w:t>
      </w:r>
      <w:r>
        <w:rPr>
          <w:i/>
          <w:iCs/>
        </w:rPr>
        <w:t xml:space="preserve"> </w:t>
      </w:r>
      <w:r>
        <w:rPr>
          <w:i/>
          <w:iCs/>
        </w:rPr>
        <w:t xml:space="preserve">الذي يتشظى.</w:t>
      </w:r>
      <w:r>
        <w:rPr>
          <w:i/>
          <w:iCs/>
        </w:rPr>
        <w:t xml:space="preserve">”</w:t>
      </w:r>
    </w:p>
    <w:p>
      <w:pPr>
        <w:pStyle w:val="FirstParagraph"/>
      </w:pPr>
      <w:r>
        <w:t xml:space="preserve">فكر في</w:t>
      </w:r>
      <w:r>
        <w:t xml:space="preserve"> </w:t>
      </w:r>
      <w:r>
        <w:rPr>
          <w:b/>
          <w:bCs/>
        </w:rPr>
        <w:t xml:space="preserve">السكري النوع 2</w:t>
      </w:r>
      <w:r>
        <w:t xml:space="preserve"> </w:t>
      </w:r>
      <w:r>
        <w:t xml:space="preserve">— إنه ليس أيضي فحسب:</w:t>
      </w:r>
      <w:r>
        <w:t xml:space="preserve"> </w:t>
      </w:r>
      <w:r>
        <w:t xml:space="preserve">-</w:t>
      </w:r>
      <w:r>
        <w:t xml:space="preserve"> </w:t>
      </w:r>
      <w:r>
        <w:rPr>
          <w:b/>
          <w:bCs/>
        </w:rPr>
        <w:t xml:space="preserve">أيضي:</w:t>
      </w:r>
      <w:r>
        <w:t xml:space="preserve"> </w:t>
      </w:r>
      <w:r>
        <w:t xml:space="preserve">مقاومة إنسولين، سمية دهنية، سمية سكرية.</w:t>
      </w:r>
      <w:r>
        <w:t xml:space="preserve"> </w:t>
      </w:r>
      <w:r>
        <w:t xml:space="preserve">-</w:t>
      </w:r>
      <w:r>
        <w:t xml:space="preserve"> </w:t>
      </w:r>
      <w:r>
        <w:rPr>
          <w:b/>
          <w:bCs/>
        </w:rPr>
        <w:t xml:space="preserve">هرموني:</w:t>
      </w:r>
      <w:r>
        <w:t xml:space="preserve"> </w:t>
      </w:r>
      <w:r>
        <w:t xml:space="preserve">استنفاد خلايا بيتا، نقص إنكريتين، فرط غلوكاجون.</w:t>
      </w:r>
      <w:r>
        <w:t xml:space="preserve"> </w:t>
      </w:r>
      <w:r>
        <w:t xml:space="preserve">-</w:t>
      </w:r>
      <w:r>
        <w:t xml:space="preserve"> </w:t>
      </w:r>
      <w:r>
        <w:rPr>
          <w:b/>
          <w:bCs/>
        </w:rPr>
        <w:t xml:space="preserve">مناعي:</w:t>
      </w:r>
      <w:r>
        <w:t xml:space="preserve"> </w:t>
      </w:r>
      <w:r>
        <w:t xml:space="preserve">ارتشاح بلعمي للنسيج الدهني (M1)، IL-6/TNF-α تُحرّك مقاومة الإنسولين، تنشيط NLRP3 inflammasome.</w:t>
      </w:r>
      <w:r>
        <w:t xml:space="preserve"> </w:t>
      </w:r>
      <w:r>
        <w:t xml:space="preserve">-</w:t>
      </w:r>
      <w:r>
        <w:t xml:space="preserve"> </w:t>
      </w:r>
      <w:r>
        <w:rPr>
          <w:b/>
          <w:bCs/>
        </w:rPr>
        <w:t xml:space="preserve">عصبي:</w:t>
      </w:r>
      <w:r>
        <w:t xml:space="preserve"> </w:t>
      </w:r>
      <w:r>
        <w:t xml:space="preserve">مقاومة إنسولين دماغية تؤثر على مكافأة الدوبامين (الإفراط في الأكل)، خلل وظيفي مبهم يؤثر على حركة الأمعاء وإشارات GLP-1.</w:t>
      </w:r>
    </w:p>
    <w:p>
      <w:pPr>
        <w:pStyle w:val="a0"/>
      </w:pPr>
      <w:r>
        <w:t xml:space="preserve">فكر في</w:t>
      </w:r>
      <w:r>
        <w:t xml:space="preserve"> </w:t>
      </w:r>
      <w:r>
        <w:rPr>
          <w:b/>
          <w:bCs/>
        </w:rPr>
        <w:t xml:space="preserve">الاكتئاب الشديد</w:t>
      </w:r>
      <w:r>
        <w:t xml:space="preserve"> </w:t>
      </w:r>
      <w:r>
        <w:t xml:space="preserve">— إنه ليس عصبي فحسب:</w:t>
      </w:r>
      <w:r>
        <w:t xml:space="preserve"> </w:t>
      </w:r>
      <w:r>
        <w:t xml:space="preserve">-</w:t>
      </w:r>
      <w:r>
        <w:t xml:space="preserve"> </w:t>
      </w:r>
      <w:r>
        <w:rPr>
          <w:b/>
          <w:bCs/>
        </w:rPr>
        <w:t xml:space="preserve">عصبي:</w:t>
      </w:r>
      <w:r>
        <w:t xml:space="preserve"> </w:t>
      </w:r>
      <w:r>
        <w:t xml:space="preserve">استنزاف السيروتونين/NE.</w:t>
      </w:r>
      <w:r>
        <w:t xml:space="preserve"> </w:t>
      </w:r>
      <w:r>
        <w:t xml:space="preserve">-</w:t>
      </w:r>
      <w:r>
        <w:t xml:space="preserve"> </w:t>
      </w:r>
      <w:r>
        <w:rPr>
          <w:b/>
          <w:bCs/>
        </w:rPr>
        <w:t xml:space="preserve">مناعي:</w:t>
      </w:r>
      <w:r>
        <w:t xml:space="preserve"> </w:t>
      </w:r>
      <w:r>
        <w:t xml:space="preserve">ارتفاع IL-6، TNF-α، CRP؛ تنشيط الخلايا الدبقية الصغيرة.</w:t>
      </w:r>
      <w:r>
        <w:t xml:space="preserve"> </w:t>
      </w:r>
      <w:r>
        <w:t xml:space="preserve">-</w:t>
      </w:r>
      <w:r>
        <w:t xml:space="preserve"> </w:t>
      </w:r>
      <w:r>
        <w:rPr>
          <w:b/>
          <w:bCs/>
        </w:rPr>
        <w:t xml:space="preserve">أيضي:</w:t>
      </w:r>
      <w:r>
        <w:t xml:space="preserve"> </w:t>
      </w:r>
      <w:r>
        <w:t xml:space="preserve">تحويل التريبتوفان إلى كينورينين (سيروتونين أقل، سم عصبي أكثر)； خلل وظيفي ميتوكوندري.</w:t>
      </w:r>
      <w:r>
        <w:t xml:space="preserve"> </w:t>
      </w:r>
      <w:r>
        <w:t xml:space="preserve">-</w:t>
      </w:r>
      <w:r>
        <w:t xml:space="preserve"> </w:t>
      </w:r>
      <w:r>
        <w:rPr>
          <w:b/>
          <w:bCs/>
        </w:rPr>
        <w:t xml:space="preserve">هرموني:</w:t>
      </w:r>
      <w:r>
        <w:t xml:space="preserve"> </w:t>
      </w:r>
      <w:r>
        <w:t xml:space="preserve">فرط تنشيط محور HPA، مقاومة كورتيزول، خلل تنظيم الدرقية (درقية مرضية سليمة).</w:t>
      </w:r>
    </w:p>
    <w:p>
      <w:pPr>
        <w:pStyle w:val="a0"/>
      </w:pPr>
      <w:r>
        <w:t xml:space="preserve">فكر في</w:t>
      </w:r>
      <w:r>
        <w:t xml:space="preserve"> </w:t>
      </w:r>
      <w:r>
        <w:rPr>
          <w:b/>
          <w:bCs/>
        </w:rPr>
        <w:t xml:space="preserve">ألزهايمر</w:t>
      </w:r>
      <w:r>
        <w:t xml:space="preserve"> </w:t>
      </w:r>
      <w:r>
        <w:t xml:space="preserve">— إنه ليس تنكس عصبي فحسب:</w:t>
      </w:r>
      <w:r>
        <w:t xml:space="preserve"> </w:t>
      </w:r>
      <w:r>
        <w:t xml:space="preserve">-</w:t>
      </w:r>
      <w:r>
        <w:t xml:space="preserve"> </w:t>
      </w:r>
      <w:r>
        <w:rPr>
          <w:b/>
          <w:bCs/>
        </w:rPr>
        <w:t xml:space="preserve">عصبي:</w:t>
      </w:r>
      <w:r>
        <w:t xml:space="preserve"> </w:t>
      </w:r>
      <w:r>
        <w:t xml:space="preserve">موت الخلايا العصبية الكولينية.</w:t>
      </w:r>
      <w:r>
        <w:t xml:space="preserve"> </w:t>
      </w:r>
      <w:r>
        <w:t xml:space="preserve">-</w:t>
      </w:r>
      <w:r>
        <w:t xml:space="preserve"> </w:t>
      </w:r>
      <w:r>
        <w:rPr>
          <w:b/>
          <w:bCs/>
        </w:rPr>
        <w:t xml:space="preserve">أيضي:</w:t>
      </w:r>
      <w:r>
        <w:t xml:space="preserve"> </w:t>
      </w:r>
      <w:r>
        <w:t xml:space="preserve">نقص أيض جلوكوز الدماغ (علامة مبكرة)، خلل في المجمع IV الميتوكوندري.</w:t>
      </w:r>
      <w:r>
        <w:t xml:space="preserve"> </w:t>
      </w:r>
      <w:r>
        <w:t xml:space="preserve">-</w:t>
      </w:r>
      <w:r>
        <w:t xml:space="preserve"> </w:t>
      </w:r>
      <w:r>
        <w:rPr>
          <w:b/>
          <w:bCs/>
        </w:rPr>
        <w:t xml:space="preserve">مناعي:</w:t>
      </w:r>
      <w:r>
        <w:t xml:space="preserve"> </w:t>
      </w:r>
      <w:r>
        <w:t xml:space="preserve">تنشيط الخلايا الدبقية الصغيرة، تسبيغ المتممة للويحات، سمية سيتوكين.</w:t>
      </w:r>
      <w:r>
        <w:t xml:space="preserve"> </w:t>
      </w:r>
      <w:r>
        <w:t xml:space="preserve">-</w:t>
      </w:r>
      <w:r>
        <w:t xml:space="preserve"> </w:t>
      </w:r>
      <w:r>
        <w:rPr>
          <w:b/>
          <w:bCs/>
        </w:rPr>
        <w:t xml:space="preserve">هرموني:</w:t>
      </w:r>
      <w:r>
        <w:t xml:space="preserve"> </w:t>
      </w:r>
      <w:r>
        <w:t xml:space="preserve">مقاومة إنسولين في الدماغ (</w:t>
      </w:r>
      <w:r>
        <w:t xml:space="preserve">“</w:t>
      </w:r>
      <w:r>
        <w:t xml:space="preserve">سكري النوع 3</w:t>
      </w:r>
      <w:r>
        <w:t xml:space="preserve">”</w:t>
      </w:r>
      <w:r>
        <w:t xml:space="preserve">)، فقدان الإستروجين بعد انقطاع الطمث يُسرّع الخطر.</w:t>
      </w:r>
    </w:p>
    <w:p>
      <w:r>
        <w:pict>
          <v:rect style="width:0;height:1.5pt" o:hralign="center" o:hrstd="t" o:hr="t"/>
        </w:pict>
      </w:r>
    </w:p>
    <w:bookmarkStart w:id="58" w:name="لوحة-المانغا-يسقط-المجلس"/>
    <w:p>
      <w:pPr>
        <w:pStyle w:val="2"/>
      </w:pPr>
      <w:r>
        <w:t xml:space="preserve">🗡️ لوحة المانغا:</w:t>
      </w:r>
      <w:r>
        <w:t xml:space="preserve"> </w:t>
      </w:r>
      <w:r>
        <w:rPr>
          <w:i/>
          <w:iCs/>
        </w:rPr>
        <w:t xml:space="preserve">“</w:t>
      </w:r>
      <w:r>
        <w:rPr>
          <w:i/>
          <w:iCs/>
        </w:rPr>
        <w:t xml:space="preserve">يسقط المجلس</w:t>
      </w:r>
      <w:r>
        <w:rPr>
          <w:i/>
          <w:iCs/>
        </w:rPr>
        <w:t xml:space="preserve">”</w:t>
      </w:r>
    </w:p>
    <w:p>
      <w:pPr>
        <w:pStyle w:val="FirstParagraph"/>
      </w:pPr>
      <w:r>
        <w:rPr>
          <w:b/>
          <w:bCs/>
        </w:rPr>
        <w:t xml:space="preserve">اللوحة 1 (المفترق):</w:t>
      </w:r>
      <w:r>
        <w:t xml:space="preserve"> </w:t>
      </w:r>
      <w:r>
        <w:t xml:space="preserve">المفترقات السبع من الجزء الأول تتوهج بالطاقة. يقف INSU (الإنسولين)، وNEURO (العصب المبهم)، وMito (الأيض)، وMACRO (البلعم) في دائرة، أيديهم مرتبطة.</w:t>
      </w:r>
    </w:p>
    <w:p>
      <w:pPr>
        <w:pStyle w:val="a0"/>
      </w:pPr>
      <w:r>
        <w:rPr>
          <w:b/>
          <w:bCs/>
        </w:rPr>
        <w:t xml:space="preserve">اللوحة 2 (الكسر):</w:t>
      </w:r>
      <w:r>
        <w:t xml:space="preserve"> </w:t>
      </w:r>
      <w:r>
        <w:t xml:space="preserve">ظل يُدعى</w:t>
      </w:r>
      <w:r>
        <w:t xml:space="preserve"> </w:t>
      </w:r>
      <w:r>
        <w:rPr>
          <w:b/>
          <w:bCs/>
        </w:rPr>
        <w:t xml:space="preserve">CHRONOS</w:t>
      </w:r>
      <w:r>
        <w:t xml:space="preserve"> </w:t>
      </w:r>
      <w:r>
        <w:t xml:space="preserve">(الإجهاد/الالتهاب المزمن) يضرب الدائرة. تُنقطع الروابط واحداً تلو الآخر.</w:t>
      </w:r>
    </w:p>
    <w:p>
      <w:pPr>
        <w:pStyle w:val="a0"/>
      </w:pPr>
      <w:r>
        <w:rPr>
          <w:b/>
          <w:bCs/>
        </w:rPr>
        <w:t xml:space="preserve">اللوحة 3 (السيل):</w:t>
      </w:r>
      <w:r>
        <w:t xml:space="preserve"> </w:t>
      </w:r>
      <w:r>
        <w:t xml:space="preserve">مع سقوط مملكة، تتهاوى الأخرى. الفوضى الهرمونية تُنجب الفوضى الأيضية. الفوضى الأيضية تُسمم النواقل العصبية. انهيار الناقل العصبي يستدعي المبالغة المناعية. المبالغة المناعية تُحرق الأيض.</w:t>
      </w:r>
    </w:p>
    <w:p>
      <w:pPr>
        <w:pStyle w:val="a0"/>
      </w:pPr>
      <w:r>
        <w:rPr>
          <w:b/>
          <w:bCs/>
        </w:rPr>
        <w:t xml:space="preserve">التعليق الأخير:</w:t>
      </w:r>
      <w:r>
        <w:t xml:space="preserve"> </w:t>
      </w:r>
      <w:r>
        <w:t xml:space="preserve">&gt;</w:t>
      </w:r>
      <w:r>
        <w:t xml:space="preserve"> </w:t>
      </w:r>
      <w:r>
        <w:rPr>
          <w:i/>
          <w:iCs/>
        </w:rPr>
        <w:t xml:space="preserve">“</w:t>
      </w:r>
      <w:r>
        <w:rPr>
          <w:i/>
          <w:iCs/>
        </w:rPr>
        <w:t xml:space="preserve">الصحة ليست غياب المرض في مسار واحد. إنها</w:t>
      </w:r>
      <w:r>
        <w:rPr>
          <w:i/>
          <w:iCs/>
        </w:rPr>
        <w:t xml:space="preserve"> </w:t>
      </w:r>
      <w:r>
        <w:rPr>
          <w:b/>
          <w:bCs/>
          <w:i/>
          <w:iCs/>
        </w:rPr>
        <w:t xml:space="preserve">الانسجام</w:t>
      </w:r>
      <w:r>
        <w:rPr>
          <w:i/>
          <w:iCs/>
        </w:rPr>
        <w:t xml:space="preserve"> </w:t>
      </w:r>
      <w:r>
        <w:rPr>
          <w:i/>
          <w:iCs/>
        </w:rPr>
        <w:t xml:space="preserve">بينهم جميعاً. والباثولوجيا؟ هي اللحظة التي تصبح فيها المفترقات ساحات معركة، والرسل صواريخ.</w:t>
      </w:r>
      <w:r>
        <w:rPr>
          <w:i/>
          <w:iCs/>
        </w:rPr>
        <w:t xml:space="preserve">”</w:t>
      </w:r>
    </w:p>
    <w:p>
      <w:r>
        <w:pict>
          <v:rect style="width:0;height:1.5pt" o:hralign="center" o:hrstd="t" o:hr="t"/>
        </w:pict>
      </w:r>
    </w:p>
    <w:p>
      <w:pPr>
        <w:pStyle w:val="FirstParagraph"/>
      </w:pPr>
      <w:r>
        <w:rPr>
          <w:b/>
          <w:bCs/>
        </w:rPr>
        <w:t xml:space="preserve">نهاية السجل.</w:t>
      </w:r>
      <w:r>
        <w:t xml:space="preserve"> </w:t>
      </w:r>
      <w:r>
        <w:t xml:space="preserve">🧬⚡🧠🛡️</w:t>
      </w:r>
    </w:p>
    <w:p>
      <w:r>
        <w:pict>
          <v:rect style="width:0;height:1.5pt" o:hralign="center" o:hrstd="t" o:hr="t"/>
        </w:pict>
      </w:r>
    </w:p>
    <w:bookmarkEnd w:id="58"/>
    <w:bookmarkEnd w:id="59"/>
    <w:sectPr w:rsidR="001C7A67" w:rsidSect="005F6CBF">
      <w:headerReference r:id="rId9" w:type="even"/>
      <w:headerReference r:id="rId11" w:type="default"/>
      <w:footerReference r:id="rId14" w:type="even"/>
      <w:footerReference r:id="rId13" w:type="default"/>
      <w:headerReference r:id="rId10" w:type="first"/>
      <w:footerReference r:id="rId12" w:type="first"/>
      <w:footnotePr>
        <w:numRestart w:val="eachSect"/>
      </w:footnotePr>
      <w:pgSz w:h="15840" w:w="12240"/>
      <w:pgMar w:bottom="1440" w:footer="1020" w:gutter="0" w:header="720" w:left="1800" w:right="1800" w:top="1440"/>
      <w:cols w:space="720"/>
      <w:docGrid w:linePitch="3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正文 CS 字体)">
    <w:altName w:val="宋体"/>
    <w:panose1 w:val="020B0604020202020204"/>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Times New Roman (标题 CS)">
    <w:altName w:val="宋体"/>
    <w:panose1 w:val="020B0604020202020204"/>
    <w:charset w:val="86"/>
    <w:family w:val="roman"/>
    <w:notTrueType/>
    <w:pitch w:val="default"/>
  </w:font>
  <w:font w:name="等线 Light">
    <w:panose1 w:val="02010600030101010101"/>
    <w:charset w:val="86"/>
    <w:family w:val="auto"/>
    <w:pitch w:val="variable"/>
    <w:sig w:usb0="A00002BF" w:usb1="38CF7CFA" w:usb2="00000016" w:usb3="00000000" w:csb0="0004000F" w:csb1="00000000"/>
  </w:font>
  <w:font w:name="Consolas">
    <w:altName w:val="苹方-简"/>
    <w:panose1 w:val="020B0609020204030204"/>
    <w:charset w:val="00"/>
    <w:family w:val="modern"/>
    <w:pitch w:val="fixed"/>
    <w:sig w:usb0="E10002FF" w:usb1="4000FCFF" w:usb2="00000009"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CBF" w:rsidRPr="005F6CBF" w:rsidRDefault="003054F1" w:rsidP="003054F1">
    <w:pPr>
      <w:pStyle w:val="af4"/>
      <w:wordWrap w:val="0"/>
      <w:jc w:val="right"/>
      <w:rPr>
        <w:sz w:val="24"/>
        <w:szCs w:val="24"/>
        <w:lang w:eastAsia="zh-CN"/>
      </w:rPr>
    </w:pPr>
    <w:r>
      <w:rPr>
        <w:sz w:val="24"/>
        <w:szCs w:val="24"/>
      </w:rPr>
      <w:t xml:space="preserve">Generated by </w:t>
    </w:r>
    <w:r>
      <w:rPr>
        <w:sz w:val="24"/>
        <w:szCs w:val="24"/>
      </w:rPr>
      <w:t>Kimi.ai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4"/>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2"/>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F"/>
    <w:multiLevelType w:val="singleLevel"/>
    <w:tmpl w:val="E34447C8"/>
    <w:lvl w:ilvl="0">
      <w:start w:val="1"/>
      <w:numFmt w:val="decimal"/>
      <w:lvlText w:val="%1."/>
      <w:lvlJc w:val="left"/>
      <w:pPr>
        <w:tabs>
          <w:tab w:pos="780" w:val="num"/>
        </w:tabs>
        <w:ind w:hanging="360" w:hangingChars="200" w:left="780" w:leftChars="200"/>
      </w:pPr>
    </w:lvl>
  </w:abstractNum>
  <w:abstractNum w15:restartNumberingAfterBreak="0" w:abstractNumId="1">
    <w:nsid w:val="FFFFFF88"/>
    <w:multiLevelType w:val="singleLevel"/>
    <w:tmpl w:val="FBEE7FC8"/>
    <w:lvl w:ilvl="0">
      <w:start w:val="1"/>
      <w:numFmt w:val="decimal"/>
      <w:lvlText w:val="%1."/>
      <w:lvlJc w:val="left"/>
      <w:pPr>
        <w:tabs>
          <w:tab w:pos="360" w:val="num"/>
        </w:tabs>
        <w:ind w:hanging="360" w:hangingChars="200" w:left="360"/>
      </w:pPr>
    </w:lvl>
  </w:abstractNum>
  <w:abstractNum w15:restartNumberingAfterBreak="0" w:abstractNumId="2">
    <w:nsid w:val="170CD2DE"/>
    <w:multiLevelType w:val="multilevel"/>
    <w:tmpl w:val="76E495AA"/>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518012929" w:numId="1">
    <w:abstractNumId w:val="2"/>
  </w:num>
  <w:num w16cid:durableId="1115832812" w:numId="2">
    <w:abstractNumId w:val="0"/>
  </w:num>
  <w:num w16cid:durableId="1385718346" w:numId="3">
    <w:abstractNumId w:val="0"/>
  </w:num>
  <w:num w16cid:durableId="534512707" w:numId="4">
    <w:abstractNumId w:val="0"/>
  </w:num>
  <w:num w16cid:durableId="1318798893" w:numId="5">
    <w:abstractNumId w:val="0"/>
  </w:num>
  <w:num w16cid:durableId="1801877254" w:numId="6">
    <w:abstractNumId w:val="0"/>
  </w:num>
  <w:num w16cid:durableId="295257330" w:numId="7">
    <w:abstractNumId w:val="1"/>
  </w:num>
  <w:num w16cid:durableId="2013414762" w:numId="8">
    <w:abstractNumId w:val="1"/>
  </w:num>
  <w:num w16cid:durableId="815605401" w:numId="9">
    <w:abstractNumId w:val="1"/>
  </w:num>
  <w:num w16cid:durableId="575365733" w:numId="10">
    <w:abstractNumId w:val="1"/>
  </w: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bordersDoNotSurroundHeader/>
  <w:bordersDoNotSurroundFooter/>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drawingGridHorizontalSpacing w:val="360"/>
  <w:drawingGridVerticalSpacing w:val="360"/>
  <w:displayHorizontalDrawingGridEvery w:val="0"/>
  <w:displayVerticalDrawingGridEvery w:val="0"/>
  <w:characterSpacingControl w:val="doNotCompress"/>
  <w:savePreviewPicture/>
  <w:footnotePr>
    <w:numRestart w:val="eachSect"/>
    <w:footnote w:id="-1"/>
    <w:footnote w:id="0"/>
  </w:footnotePr>
  <w:compat>
    <w:useFELayout/>
    <w:compatSetting w:name="compatibilityMode" w:uri="http://schemas.microsoft.com/office/word" w:val="12"/>
    <w:compatSetting w:name="useWord2013TrackBottomHyphenation" w:uri="http://schemas.microsoft.com/office/word" w:val="1"/>
  </w:compat>
  <w:rsids>
    <w:rsidRoot w:val="001C7A67"/>
    <w:rsid w:val="00196211"/>
    <w:rsid w:val="001C7A67"/>
    <w:rsid w:val="003054F1"/>
    <w:rsid w:val="004825C6"/>
    <w:rsid w:val="0051628A"/>
    <w:rsid w:val="005464E3"/>
    <w:rsid w:val="005F6CBF"/>
    <w:rsid w:val="00643110"/>
    <w:rsid w:val="00746C97"/>
    <w:rsid w:val="008708D9"/>
    <w:rsid w:val="00977478"/>
    <w:rsid w:val="00AF517C"/>
    <w:rsid w:val="00BF08D0"/>
    <w:rsid w:val="00CF7597"/>
    <w:rsid w:val="00D90F1F"/>
    <w:rsid w:val="00EC61BB"/>
    <w:rsid w:val="00FA401C"/>
    <w:rsid w:val="00FD76EA"/>
    <w:rsid w:val="00FE619A"/>
  </w:rsids>
  <w:themeFontLang w:eastAsia="zh-CN"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EastAsia"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a" w:type="paragraph">
    <w:name w:val="Normal"/>
    <w:qFormat/>
    <w:rsid w:val="00977478"/>
    <w:pPr>
      <w:spacing w:after="0" w:line="360" w:lineRule="auto"/>
    </w:pPr>
    <w:rPr>
      <w:rFonts w:ascii="Arial" w:cs="Times New Roman (正文 CS 字体)" w:eastAsia="宋体" w:hAnsi="Arial"/>
    </w:rPr>
  </w:style>
  <w:style w:styleId="1" w:type="paragraph">
    <w:name w:val="heading 1"/>
    <w:basedOn w:val="a"/>
    <w:next w:val="a0"/>
    <w:link w:val="10"/>
    <w:uiPriority w:val="9"/>
    <w:qFormat/>
    <w:rsid w:val="008708D9"/>
    <w:pPr>
      <w:keepNext/>
      <w:keepLines/>
      <w:outlineLvl w:val="0"/>
    </w:pPr>
    <w:rPr>
      <w:rFonts w:cs="Times New Roman (标题 CS)" w:eastAsia="黑体"/>
      <w:sz w:val="30"/>
      <w:szCs w:val="40"/>
    </w:rPr>
  </w:style>
  <w:style w:styleId="2" w:type="paragraph">
    <w:name w:val="heading 2"/>
    <w:basedOn w:val="a"/>
    <w:next w:val="a0"/>
    <w:link w:val="20"/>
    <w:uiPriority w:val="9"/>
    <w:semiHidden/>
    <w:unhideWhenUsed/>
    <w:qFormat/>
    <w:rsid w:val="008708D9"/>
    <w:pPr>
      <w:keepNext/>
      <w:keepLines/>
      <w:outlineLvl w:val="1"/>
    </w:pPr>
    <w:rPr>
      <w:rFonts w:cs="Times New Roman (标题 CS)" w:eastAsia="黑体"/>
      <w:sz w:val="28"/>
      <w:szCs w:val="32"/>
    </w:rPr>
  </w:style>
  <w:style w:styleId="3" w:type="paragraph">
    <w:name w:val="heading 3"/>
    <w:basedOn w:val="a"/>
    <w:next w:val="a0"/>
    <w:link w:val="30"/>
    <w:uiPriority w:val="9"/>
    <w:semiHidden/>
    <w:unhideWhenUsed/>
    <w:qFormat/>
    <w:rsid w:val="008708D9"/>
    <w:pPr>
      <w:keepNext/>
      <w:keepLines/>
      <w:outlineLvl w:val="2"/>
    </w:pPr>
    <w:rPr>
      <w:rFonts w:cs="Times New Roman (标题 CS)" w:eastAsia="黑体"/>
      <w:sz w:val="26"/>
      <w:szCs w:val="28"/>
    </w:rPr>
  </w:style>
  <w:style w:styleId="4" w:type="paragraph">
    <w:name w:val="heading 4"/>
    <w:basedOn w:val="3"/>
    <w:next w:val="a0"/>
    <w:link w:val="40"/>
    <w:uiPriority w:val="9"/>
    <w:unhideWhenUsed/>
    <w:qFormat/>
    <w:rsid w:val="00EC61BB"/>
    <w:pPr>
      <w:outlineLvl w:val="3"/>
    </w:pPr>
  </w:style>
  <w:style w:styleId="5" w:type="paragraph">
    <w:name w:val="heading 5"/>
    <w:basedOn w:val="4"/>
    <w:next w:val="a0"/>
    <w:link w:val="50"/>
    <w:uiPriority w:val="9"/>
    <w:unhideWhenUsed/>
    <w:qFormat/>
    <w:rsid w:val="00EC61BB"/>
    <w:pPr>
      <w:outlineLvl w:val="4"/>
    </w:pPr>
  </w:style>
  <w:style w:styleId="6" w:type="paragraph">
    <w:name w:val="heading 6"/>
    <w:basedOn w:val="5"/>
    <w:next w:val="a0"/>
    <w:link w:val="60"/>
    <w:uiPriority w:val="9"/>
    <w:unhideWhenUsed/>
    <w:qFormat/>
    <w:rsid w:val="00EC61BB"/>
    <w:pPr>
      <w:outlineLvl w:val="5"/>
    </w:pPr>
  </w:style>
  <w:style w:styleId="7" w:type="paragraph">
    <w:name w:val="heading 7"/>
    <w:basedOn w:val="6"/>
    <w:next w:val="a0"/>
    <w:link w:val="70"/>
    <w:uiPriority w:val="9"/>
    <w:unhideWhenUsed/>
    <w:qFormat/>
    <w:rsid w:val="00EC61BB"/>
    <w:pPr>
      <w:outlineLvl w:val="6"/>
    </w:pPr>
  </w:style>
  <w:style w:styleId="8" w:type="paragraph">
    <w:name w:val="heading 8"/>
    <w:basedOn w:val="7"/>
    <w:next w:val="a0"/>
    <w:link w:val="80"/>
    <w:uiPriority w:val="9"/>
    <w:unhideWhenUsed/>
    <w:qFormat/>
    <w:rsid w:val="00EC61BB"/>
    <w:pPr>
      <w:outlineLvl w:val="7"/>
    </w:pPr>
  </w:style>
  <w:style w:styleId="9" w:type="paragraph">
    <w:name w:val="heading 9"/>
    <w:basedOn w:val="8"/>
    <w:next w:val="a0"/>
    <w:link w:val="90"/>
    <w:uiPriority w:val="9"/>
    <w:unhideWhenUsed/>
    <w:qFormat/>
    <w:rsid w:val="00EC61BB"/>
    <w:pPr>
      <w:outlineLvl w:val="8"/>
    </w:pPr>
  </w:style>
  <w:style w:default="1" w:styleId="a1" w:type="character">
    <w:name w:val="Default Paragraph Font"/>
    <w:uiPriority w:val="1"/>
    <w:semiHidden/>
    <w:unhideWhenUsed/>
  </w:style>
  <w:style w:default="1" w:styleId="a2" w:type="table">
    <w:name w:val="Normal Table"/>
    <w:uiPriority w:val="99"/>
    <w:semiHidden/>
    <w:unhideWhenUsed/>
    <w:tblPr>
      <w:tblInd w:type="dxa" w:w="0"/>
      <w:tblCellMar>
        <w:top w:type="dxa" w:w="0"/>
        <w:left w:type="dxa" w:w="108"/>
        <w:bottom w:type="dxa" w:w="0"/>
        <w:right w:type="dxa" w:w="108"/>
      </w:tblCellMar>
    </w:tblPr>
  </w:style>
  <w:style w:default="1" w:styleId="a3" w:type="numbering">
    <w:name w:val="No List"/>
    <w:uiPriority w:val="99"/>
    <w:semiHidden/>
    <w:unhideWhenUsed/>
  </w:style>
  <w:style w:styleId="a0" w:type="paragraph">
    <w:name w:val="Body Text"/>
    <w:basedOn w:val="a"/>
    <w:qFormat/>
    <w:rsid w:val="00CF7597"/>
  </w:style>
  <w:style w:customStyle="1" w:styleId="FirstParagraph" w:type="paragraph">
    <w:name w:val="First Paragraph"/>
    <w:basedOn w:val="a0"/>
    <w:next w:val="a0"/>
    <w:qFormat/>
  </w:style>
  <w:style w:customStyle="1" w:styleId="Compact" w:type="paragraph">
    <w:name w:val="Compact"/>
    <w:basedOn w:val="a0"/>
    <w:qFormat/>
    <w:pPr>
      <w:spacing w:after="36" w:before="36"/>
    </w:pPr>
  </w:style>
  <w:style w:styleId="a4" w:type="paragraph">
    <w:name w:val="Title"/>
    <w:basedOn w:val="a"/>
    <w:next w:val="a0"/>
    <w:link w:val="a5"/>
    <w:uiPriority w:val="10"/>
    <w:qFormat/>
    <w:rsid w:val="00AF517C"/>
    <w:pPr>
      <w:contextualSpacing/>
      <w:jc w:val="center"/>
    </w:pPr>
    <w:rPr>
      <w:rFonts w:cs="Times New Roman (标题 CS)" w:eastAsia="黑体"/>
      <w:sz w:val="30"/>
      <w:szCs w:val="56"/>
    </w:rPr>
  </w:style>
  <w:style w:customStyle="1" w:styleId="a5" w:type="character">
    <w:name w:val="标题 字符"/>
    <w:basedOn w:val="a1"/>
    <w:link w:val="a4"/>
    <w:uiPriority w:val="10"/>
    <w:rsid w:val="00AF517C"/>
    <w:rPr>
      <w:rFonts w:ascii="Arial" w:cs="Times New Roman (标题 CS)" w:eastAsia="黑体" w:hAnsi="Arial"/>
      <w:sz w:val="30"/>
      <w:szCs w:val="56"/>
    </w:rPr>
  </w:style>
  <w:style w:styleId="a6" w:type="paragraph">
    <w:name w:val="Subtitle"/>
    <w:basedOn w:val="a4"/>
    <w:next w:val="a0"/>
    <w:link w:val="a7"/>
    <w:uiPriority w:val="11"/>
    <w:qFormat/>
    <w:rsid w:val="00A10FD9"/>
    <w:pPr>
      <w:numPr>
        <w:ilvl w:val="1"/>
      </w:numPr>
    </w:pPr>
    <w:rPr>
      <w:rFonts w:cstheme="majorBidi" w:eastAsiaTheme="majorEastAsia"/>
      <w:spacing w:val="15"/>
      <w:sz w:val="28"/>
      <w:szCs w:val="28"/>
    </w:rPr>
  </w:style>
  <w:style w:customStyle="1" w:styleId="a7" w:type="character">
    <w:name w:val="副标题 字符"/>
    <w:basedOn w:val="a1"/>
    <w:link w:val="a6"/>
    <w:uiPriority w:val="11"/>
    <w:rsid w:val="00A10FD9"/>
    <w:rPr>
      <w:rFonts w:cstheme="majorBidi" w:eastAsiaTheme="majorEastAsia"/>
      <w:color w:themeColor="text1" w:themeTint="A6" w:val="595959"/>
      <w:spacing w:val="15"/>
      <w:sz w:val="28"/>
      <w:szCs w:val="28"/>
    </w:rPr>
  </w:style>
  <w:style w:customStyle="1" w:styleId="Author" w:type="paragraph">
    <w:name w:val="Author"/>
    <w:basedOn w:val="a4"/>
    <w:next w:val="a0"/>
    <w:qFormat/>
    <w:pPr>
      <w:keepNext/>
      <w:keepLines/>
    </w:pPr>
    <w:rPr>
      <w:sz w:val="24"/>
      <w:szCs w:val="24"/>
    </w:rPr>
  </w:style>
  <w:style w:styleId="a8" w:type="paragraph">
    <w:name w:val="Date"/>
    <w:basedOn w:val="a4"/>
    <w:next w:val="a0"/>
    <w:qFormat/>
    <w:pPr>
      <w:keepNext/>
      <w:keepLines/>
    </w:pPr>
    <w:rPr>
      <w:sz w:val="24"/>
      <w:szCs w:val="24"/>
    </w:rPr>
  </w:style>
  <w:style w:customStyle="1" w:styleId="AbstractTitle" w:type="paragraph">
    <w:name w:val="Abstract Title"/>
    <w:basedOn w:val="a"/>
    <w:next w:val="Abstract"/>
    <w:qFormat/>
    <w:pPr>
      <w:keepNext/>
      <w:keepLines/>
      <w:spacing w:before="300"/>
      <w:jc w:val="center"/>
    </w:pPr>
    <w:rPr>
      <w:b/>
      <w:sz w:val="20"/>
      <w:szCs w:val="20"/>
    </w:rPr>
  </w:style>
  <w:style w:customStyle="1" w:styleId="Abstract" w:type="paragraph">
    <w:name w:val="Abstract"/>
    <w:basedOn w:val="a"/>
    <w:next w:val="a0"/>
    <w:qFormat/>
    <w:pPr>
      <w:keepNext/>
      <w:keepLines/>
      <w:spacing w:after="300" w:before="100"/>
    </w:pPr>
    <w:rPr>
      <w:sz w:val="20"/>
      <w:szCs w:val="20"/>
    </w:rPr>
  </w:style>
  <w:style w:styleId="a9" w:type="paragraph">
    <w:name w:val="Bibliography"/>
    <w:basedOn w:val="a"/>
    <w:qFormat/>
  </w:style>
  <w:style w:customStyle="1" w:styleId="10" w:type="character">
    <w:name w:val="标题 1 字符"/>
    <w:basedOn w:val="a1"/>
    <w:link w:val="1"/>
    <w:uiPriority w:val="9"/>
    <w:rsid w:val="008708D9"/>
    <w:rPr>
      <w:rFonts w:ascii="Arial" w:cs="Times New Roman (标题 CS)" w:eastAsia="黑体" w:hAnsi="Arial"/>
      <w:sz w:val="30"/>
      <w:szCs w:val="40"/>
    </w:rPr>
  </w:style>
  <w:style w:customStyle="1" w:styleId="20" w:type="character">
    <w:name w:val="标题 2 字符"/>
    <w:basedOn w:val="a1"/>
    <w:link w:val="2"/>
    <w:uiPriority w:val="9"/>
    <w:semiHidden/>
    <w:rsid w:val="008708D9"/>
    <w:rPr>
      <w:rFonts w:ascii="Arial" w:cs="Times New Roman (标题 CS)" w:eastAsia="黑体" w:hAnsi="Arial"/>
      <w:sz w:val="28"/>
      <w:szCs w:val="32"/>
    </w:rPr>
  </w:style>
  <w:style w:customStyle="1" w:styleId="30" w:type="character">
    <w:name w:val="标题 3 字符"/>
    <w:basedOn w:val="a1"/>
    <w:link w:val="3"/>
    <w:uiPriority w:val="9"/>
    <w:semiHidden/>
    <w:rsid w:val="008708D9"/>
    <w:rPr>
      <w:rFonts w:ascii="Arial" w:cs="Times New Roman (标题 CS)" w:eastAsia="黑体" w:hAnsi="Arial"/>
      <w:sz w:val="26"/>
      <w:szCs w:val="28"/>
    </w:rPr>
  </w:style>
  <w:style w:customStyle="1" w:styleId="40" w:type="character">
    <w:name w:val="标题 4 字符"/>
    <w:basedOn w:val="a1"/>
    <w:link w:val="4"/>
    <w:uiPriority w:val="9"/>
    <w:rsid w:val="00EC61BB"/>
    <w:rPr>
      <w:rFonts w:ascii="Arial" w:cs="Times New Roman (标题 CS)" w:eastAsia="黑体" w:hAnsi="Arial"/>
      <w:color w:themeColor="accent1" w:themeShade="BF" w:val="0F4761"/>
      <w:sz w:val="26"/>
      <w:szCs w:val="28"/>
    </w:rPr>
  </w:style>
  <w:style w:customStyle="1" w:styleId="50" w:type="character">
    <w:name w:val="标题 5 字符"/>
    <w:basedOn w:val="a1"/>
    <w:link w:val="5"/>
    <w:uiPriority w:val="9"/>
    <w:rsid w:val="00EC61BB"/>
    <w:rPr>
      <w:rFonts w:ascii="Arial" w:cs="Times New Roman (标题 CS)" w:eastAsia="黑体" w:hAnsi="Arial"/>
      <w:color w:themeColor="accent1" w:themeShade="BF" w:val="0F4761"/>
      <w:sz w:val="26"/>
      <w:szCs w:val="28"/>
    </w:rPr>
  </w:style>
  <w:style w:customStyle="1" w:styleId="60" w:type="character">
    <w:name w:val="标题 6 字符"/>
    <w:basedOn w:val="a1"/>
    <w:link w:val="6"/>
    <w:uiPriority w:val="9"/>
    <w:rsid w:val="00EC61BB"/>
    <w:rPr>
      <w:rFonts w:ascii="Arial" w:cs="Times New Roman (标题 CS)" w:eastAsia="黑体" w:hAnsi="Arial"/>
      <w:color w:themeColor="accent1" w:themeShade="BF" w:val="0F4761"/>
      <w:sz w:val="26"/>
      <w:szCs w:val="28"/>
    </w:rPr>
  </w:style>
  <w:style w:customStyle="1" w:styleId="70" w:type="character">
    <w:name w:val="标题 7 字符"/>
    <w:basedOn w:val="a1"/>
    <w:link w:val="7"/>
    <w:uiPriority w:val="9"/>
    <w:rsid w:val="00EC61BB"/>
    <w:rPr>
      <w:rFonts w:ascii="Arial" w:cs="Times New Roman (标题 CS)" w:eastAsia="黑体" w:hAnsi="Arial"/>
      <w:color w:themeColor="accent1" w:themeShade="BF" w:val="0F4761"/>
      <w:sz w:val="26"/>
      <w:szCs w:val="28"/>
    </w:rPr>
  </w:style>
  <w:style w:customStyle="1" w:styleId="80" w:type="character">
    <w:name w:val="标题 8 字符"/>
    <w:basedOn w:val="a1"/>
    <w:link w:val="8"/>
    <w:uiPriority w:val="9"/>
    <w:rsid w:val="00EC61BB"/>
    <w:rPr>
      <w:rFonts w:ascii="Arial" w:cs="Times New Roman (标题 CS)" w:eastAsia="黑体" w:hAnsi="Arial"/>
      <w:color w:themeColor="accent1" w:themeShade="BF" w:val="0F4761"/>
      <w:sz w:val="26"/>
      <w:szCs w:val="28"/>
    </w:rPr>
  </w:style>
  <w:style w:customStyle="1" w:styleId="90" w:type="character">
    <w:name w:val="标题 9 字符"/>
    <w:basedOn w:val="a1"/>
    <w:link w:val="9"/>
    <w:uiPriority w:val="9"/>
    <w:rsid w:val="00EC61BB"/>
    <w:rPr>
      <w:rFonts w:ascii="Arial" w:cs="Times New Roman (标题 CS)" w:eastAsia="黑体" w:hAnsi="Arial"/>
      <w:color w:themeColor="accent1" w:themeShade="BF" w:val="0F4761"/>
      <w:sz w:val="26"/>
      <w:szCs w:val="28"/>
    </w:rPr>
  </w:style>
  <w:style w:styleId="aa" w:type="paragraph">
    <w:name w:val="Block Text"/>
    <w:basedOn w:val="a0"/>
    <w:next w:val="a0"/>
    <w:uiPriority w:val="9"/>
    <w:unhideWhenUsed/>
    <w:qFormat/>
    <w:pPr>
      <w:spacing w:after="100" w:before="100"/>
      <w:ind w:left="480" w:right="480"/>
    </w:pPr>
  </w:style>
  <w:style w:styleId="ab" w:type="paragraph">
    <w:name w:val="footnote text"/>
    <w:basedOn w:val="a"/>
    <w:uiPriority w:val="9"/>
    <w:unhideWhenUsed/>
    <w:qFormat/>
    <w:rsid w:val="00746C97"/>
    <w:rPr>
      <w:sz w:val="18"/>
    </w:rPr>
  </w:style>
  <w:style w:customStyle="1" w:styleId="FootnoteBlockText" w:type="paragraph">
    <w:name w:val="Footnote Block Text"/>
    <w:basedOn w:val="ab"/>
    <w:next w:val="ab"/>
    <w:uiPriority w:val="9"/>
    <w:unhideWhenUsed/>
    <w:qFormat/>
    <w:pPr>
      <w:spacing w:after="100" w:before="100"/>
      <w:ind w:left="480" w:right="480"/>
    </w:pPr>
  </w:style>
  <w:style w:customStyle="1" w:styleId="Table" w:type="table">
    <w:name w:val="Table"/>
    <w:semiHidden/>
    <w:unhideWhenUsed/>
    <w:qFormat/>
    <w:tblPr>
      <w:tblInd w:type="dxa" w:w="0"/>
      <w:tblCellMar>
        <w:top w:type="dxa" w:w="0"/>
        <w:left w:type="dxa" w:w="108"/>
        <w:bottom w:type="dxa" w:w="0"/>
        <w:right w:type="dxa" w:w="108"/>
      </w:tblCellMar>
    </w:tblPr>
    <w:tblStylePr w:type="firstRow">
      <w:tblPr>
        <w:jc w:val="left"/>
      </w:tblPr>
      <w:trPr>
        <w:jc w:val="left"/>
      </w:trPr>
      <w:tcPr>
        <w:tcBorders>
          <w:bottom w:color="auto" w:space="0" w:sz="0" w:val="single"/>
        </w:tcBorders>
        <w:vAlign w:val="bottom"/>
      </w:tcPr>
    </w:tblStylePr>
  </w:style>
  <w:style w:customStyle="1" w:styleId="DefinitionTerm" w:type="paragraph">
    <w:name w:val="Definition Term"/>
    <w:basedOn w:val="a"/>
    <w:next w:val="Definition"/>
    <w:pPr>
      <w:keepNext/>
      <w:keepLines/>
    </w:pPr>
    <w:rPr>
      <w:b/>
    </w:rPr>
  </w:style>
  <w:style w:customStyle="1" w:styleId="Definition" w:type="paragraph">
    <w:name w:val="Definition"/>
    <w:basedOn w:val="a"/>
  </w:style>
  <w:style w:styleId="ac" w:type="paragraph">
    <w:name w:val="caption"/>
    <w:basedOn w:val="a"/>
    <w:link w:val="ad"/>
    <w:pPr>
      <w:spacing w:after="120"/>
    </w:pPr>
    <w:rPr>
      <w:i/>
    </w:rPr>
  </w:style>
  <w:style w:customStyle="1" w:styleId="TableCaption" w:type="paragraph">
    <w:name w:val="Table Caption"/>
    <w:basedOn w:val="ac"/>
    <w:rsid w:val="00746C97"/>
    <w:pPr>
      <w:keepNext/>
      <w:spacing w:after="0"/>
      <w:jc w:val="center"/>
    </w:pPr>
    <w:rPr>
      <w:i w:val="0"/>
      <w:sz w:val="20"/>
    </w:rPr>
  </w:style>
  <w:style w:customStyle="1" w:styleId="ImageCaption" w:type="paragraph">
    <w:name w:val="Image Caption"/>
    <w:basedOn w:val="ac"/>
    <w:rsid w:val="00BF08D0"/>
    <w:pPr>
      <w:spacing w:after="0"/>
      <w:jc w:val="center"/>
    </w:pPr>
    <w:rPr>
      <w:i w:val="0"/>
      <w:sz w:val="20"/>
    </w:rPr>
  </w:style>
  <w:style w:customStyle="1" w:styleId="Figure" w:type="paragraph">
    <w:name w:val="Figure"/>
    <w:basedOn w:val="a"/>
  </w:style>
  <w:style w:customStyle="1" w:styleId="CaptionedFigure" w:type="paragraph">
    <w:name w:val="Captioned Figure"/>
    <w:basedOn w:val="Figure"/>
    <w:pPr>
      <w:keepNext/>
    </w:pPr>
  </w:style>
  <w:style w:customStyle="1" w:styleId="ad" w:type="character">
    <w:name w:val="题注 字符"/>
    <w:basedOn w:val="a1"/>
    <w:link w:val="ac"/>
  </w:style>
  <w:style w:customStyle="1" w:styleId="VerbatimChar" w:type="character">
    <w:name w:val="Verbatim Char"/>
    <w:basedOn w:val="ad"/>
    <w:rPr>
      <w:rFonts w:ascii="Consolas" w:hAnsi="Consolas"/>
      <w:sz w:val="22"/>
    </w:rPr>
  </w:style>
  <w:style w:customStyle="1" w:styleId="SectionNumber" w:type="character">
    <w:name w:val="Section Number"/>
    <w:basedOn w:val="ad"/>
  </w:style>
  <w:style w:styleId="ae" w:type="character">
    <w:name w:val="footnote reference"/>
    <w:basedOn w:val="ad"/>
    <w:rPr>
      <w:vertAlign w:val="superscript"/>
    </w:rPr>
  </w:style>
  <w:style w:styleId="af" w:type="character">
    <w:name w:val="Hyperlink"/>
    <w:basedOn w:val="ad"/>
    <w:rPr>
      <w:color w:themeColor="accent1" w:val="156082"/>
    </w:rPr>
  </w:style>
  <w:style w:styleId="TOC" w:type="paragraph">
    <w:name w:val="TOC Heading"/>
    <w:basedOn w:val="1"/>
    <w:next w:val="a0"/>
    <w:uiPriority w:val="39"/>
    <w:unhideWhenUsed/>
    <w:qFormat/>
    <w:pPr>
      <w:spacing w:before="240" w:line="259" w:lineRule="auto"/>
      <w:outlineLvl w:val="9"/>
    </w:pPr>
    <w:rPr>
      <w:rFonts w:asciiTheme="majorHAnsi" w:cstheme="majorBidi" w:eastAsiaTheme="majorEastAsia" w:hAnsiTheme="majorHAnsi"/>
    </w:rPr>
  </w:style>
  <w:style w:styleId="af0" w:type="table">
    <w:name w:val="Table Grid"/>
    <w:basedOn w:val="a2"/>
    <w:rsid w:val="00746C97"/>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af1" w:type="paragraph">
    <w:name w:val="List Paragraph"/>
    <w:basedOn w:val="a0"/>
    <w:rsid w:val="0051628A"/>
    <w:pPr>
      <w:ind w:firstLine="420" w:firstLineChars="200"/>
    </w:pPr>
  </w:style>
  <w:style w:styleId="af2" w:type="paragraph">
    <w:name w:val="header"/>
    <w:basedOn w:val="a"/>
    <w:link w:val="af3"/>
    <w:rsid w:val="005F6CBF"/>
    <w:pPr>
      <w:tabs>
        <w:tab w:pos="4153" w:val="center"/>
        <w:tab w:pos="8306" w:val="right"/>
      </w:tabs>
      <w:snapToGrid w:val="0"/>
      <w:spacing w:line="240" w:lineRule="auto"/>
      <w:jc w:val="center"/>
    </w:pPr>
    <w:rPr>
      <w:sz w:val="18"/>
      <w:szCs w:val="18"/>
    </w:rPr>
  </w:style>
  <w:style w:customStyle="1" w:styleId="af3" w:type="character">
    <w:name w:val="页眉 字符"/>
    <w:basedOn w:val="a1"/>
    <w:link w:val="af2"/>
    <w:rsid w:val="005F6CBF"/>
    <w:rPr>
      <w:rFonts w:ascii="Arial" w:cs="Times New Roman (正文 CS 字体)" w:eastAsia="宋体" w:hAnsi="Arial"/>
      <w:sz w:val="18"/>
      <w:szCs w:val="18"/>
    </w:rPr>
  </w:style>
  <w:style w:styleId="af4" w:type="paragraph">
    <w:name w:val="footer"/>
    <w:basedOn w:val="a"/>
    <w:link w:val="af5"/>
    <w:rsid w:val="005F6CBF"/>
    <w:pPr>
      <w:tabs>
        <w:tab w:pos="4153" w:val="center"/>
        <w:tab w:pos="8306" w:val="right"/>
      </w:tabs>
      <w:snapToGrid w:val="0"/>
      <w:spacing w:line="240" w:lineRule="auto"/>
    </w:pPr>
    <w:rPr>
      <w:sz w:val="18"/>
      <w:szCs w:val="18"/>
    </w:rPr>
  </w:style>
  <w:style w:customStyle="1" w:styleId="af5" w:type="character">
    <w:name w:val="页脚 字符"/>
    <w:basedOn w:val="a1"/>
    <w:link w:val="af4"/>
    <w:rsid w:val="005F6CBF"/>
    <w:rPr>
      <w:rFonts w:ascii="Arial" w:cs="Times New Roman (正文 CS 字体)" w:eastAsia="宋体" w:hAnsi="Arial"/>
      <w:sz w:val="18"/>
      <w:szCs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header3.xml" Type="http://schemas.openxmlformats.org/officeDocument/2006/relationships/header" /><Relationship Id="rId11" Target="header2.xml" Type="http://schemas.openxmlformats.org/officeDocument/2006/relationships/header" /><Relationship Id="rId12" Target="footer3.xml" Type="http://schemas.openxmlformats.org/officeDocument/2006/relationships/footer" /><Relationship Id="rId13" Target="footer2.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62</Words>
  <Characters>360</Characters>
  <Application>Microsoft Office Word</Application>
  <DocSecurity>0</DocSecurity>
  <Lines>3</Lines>
  <Paragraphs>1</Paragraphs>
  <ScaleCrop>false</ScaleCrop>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2026-05-11T04:49:24Z</dcterms:created>
  <dcterms:modified xsi:type="dcterms:W3CDTF">2026-05-11T04:49:24Z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001191110108MACG2KBH8F10000","ProduceID":"d2moev4nvj4rj5cogt10-19e15432-0522-88a1-8000-09b70536dc1e-20260511044924","ReservedCode1":"","ContentPropagator":"001191110108MACG2KBH8F20000","PropagateID":"d2moev4nvj4rj5cogt10-19e15432-0522-88a1-8000-09b70536dc1e-20260511044924","ReservedCode2":""}</vt:lpwstr>
  </property>
</Properties>
</file>