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4" w:name="X2156daaf3d9a6724b67376260dfc4874978d193"/>
    <w:p>
      <w:pPr>
        <w:pStyle w:val="1"/>
      </w:pPr>
      <w:r>
        <w:t xml:space="preserve">Comprehensive Analysis of Nutrients, Diet, and Lifestyle Across Populations, Patterns, and Time</w:t>
      </w:r>
    </w:p>
    <w:bookmarkStart w:id="51" w:name="foundational-concepts-in-human-nutrition"/>
    <w:p>
      <w:pPr>
        <w:pStyle w:val="2"/>
      </w:pPr>
      <w:r>
        <w:t xml:space="preserve">1. Foundational Concepts in Human Nutrition</w:t>
      </w:r>
    </w:p>
    <w:bookmarkStart w:id="28" w:name="macronutrients-and-energy-metabolism"/>
    <w:p>
      <w:pPr>
        <w:pStyle w:val="3"/>
      </w:pPr>
      <w:r>
        <w:t xml:space="preserve">1.1 Macronutrients and Energy Metabolism</w:t>
      </w:r>
    </w:p>
    <w:bookmarkStart w:id="24" w:name="X349e8df567d85480c693e8a676dce8fa27726dc"/>
    <w:p>
      <w:pPr>
        <w:pStyle w:val="4"/>
      </w:pPr>
      <w:r>
        <w:t xml:space="preserve">1.1.1 Carbohydrates: Classification, Functions, and Dietary Reference Intakes</w:t>
      </w:r>
    </w:p>
    <w:p>
      <w:pPr>
        <w:pStyle w:val="FirstParagraph"/>
      </w:pPr>
      <w:r>
        <w:t xml:space="preserve">Carbohydrates constitute the primary energy source for human physiology, with particular importance for brain function, central nervous system operation, and red blood cell metabolism. The classification into</w:t>
      </w:r>
      <w:r>
        <w:t xml:space="preserve"> </w:t>
      </w:r>
      <w:r>
        <w:rPr>
          <w:b/>
          <w:bCs/>
        </w:rPr>
        <w:t xml:space="preserve">structural (complex) carbohydrates</w:t>
      </w:r>
      <w:r>
        <w:t xml:space="preserve">—starches, fibers, and resistant carbohydrates found in whole grains, legumes, vegetables, and fruits—and</w:t>
      </w:r>
      <w:r>
        <w:t xml:space="preserve"> </w:t>
      </w:r>
      <w:r>
        <w:rPr>
          <w:b/>
          <w:bCs/>
        </w:rPr>
        <w:t xml:space="preserve">simple carbohydrates</w:t>
      </w:r>
      <w:r>
        <w:t xml:space="preserve">—monosaccharides (glucose, fructose, galactose) and disaccharides (sucrose, lactose, maltose)—fundamentally determines metabolic fate and physiological impact. Structural carbohydrates require enzymatic digestion before absorption, resulting in gradual glucose release and sustained energy provision, while simple carbohydrates are rapidly absorbed, causing acute glycemic responses that challenge metabolic regulation when consumed in excess.</w:t>
      </w:r>
    </w:p>
    <w:p>
      <w:pPr>
        <w:pStyle w:val="a0"/>
      </w:pPr>
      <w:r>
        <w:t xml:space="preserve">The</w:t>
      </w:r>
      <w:r>
        <w:t xml:space="preserve"> </w:t>
      </w:r>
      <w:r>
        <w:rPr>
          <w:b/>
          <w:bCs/>
        </w:rPr>
        <w:t xml:space="preserve">Acceptable Macronutrient Distribution Range (AMDR) for carbohydrates spans 45–65% of total caloric intake</w:t>
      </w:r>
      <w:r>
        <w:t xml:space="preserve">, established by the Institute of Medicine based on evidence that intakes below this range may compromise fiber and micronutrient intake, while intakes above may limit essential fatty acid and protein consumption</w:t>
      </w:r>
      <w:r>
        <w:t xml:space="preserve"> </w:t>
      </w:r>
      <w:hyperlink r:id="rId20">
        <w:r>
          <w:rPr>
            <w:rStyle w:val="af"/>
          </w:rPr>
          <w:t xml:space="preserve">(Medicine LibreTexts)</w:t>
        </w:r>
      </w:hyperlink>
      <w:r>
        <w:t xml:space="preserve"> </w:t>
      </w:r>
      <w:r>
        <w:t xml:space="preserve">. The</w:t>
      </w:r>
      <w:r>
        <w:t xml:space="preserve"> </w:t>
      </w:r>
      <w:r>
        <w:rPr>
          <w:b/>
          <w:bCs/>
        </w:rPr>
        <w:t xml:space="preserve">Recommended Dietary Allowance (RDA) for carbohydrate is 130 grams per day</w:t>
      </w:r>
      <w:r>
        <w:t xml:space="preserve"> </w:t>
      </w:r>
      <w:r>
        <w:t xml:space="preserve">for adults and children aged one year and older, representing the minimum glucose supply required for brain function</w:t>
      </w:r>
      <w:r>
        <w:t xml:space="preserve"> </w:t>
      </w:r>
      <w:hyperlink r:id="rId21">
        <w:r>
          <w:rPr>
            <w:rStyle w:val="af"/>
          </w:rPr>
          <w:t xml:space="preserve">(nih.gov)</w:t>
        </w:r>
      </w:hyperlink>
      <w:r>
        <w:t xml:space="preserve"> </w:t>
      </w:r>
      <w:r>
        <w:t xml:space="preserve">. This value does not reflect optimal intake but rather a deficiency prevention threshold; typical consumption in most populations substantially exceeds this minimum.</w:t>
      </w:r>
    </w:p>
    <w:p>
      <w:pPr>
        <w:pStyle w:val="a0"/>
      </w:pPr>
      <w:r>
        <w:t xml:space="preserve">The</w:t>
      </w:r>
      <w:r>
        <w:t xml:space="preserve"> </w:t>
      </w:r>
      <w:r>
        <w:rPr>
          <w:b/>
          <w:bCs/>
        </w:rPr>
        <w:t xml:space="preserve">World Health Organization (WHO) has shifted emphasis toward carbohydrate quality over quantity in its 2023 guidelines</w:t>
      </w:r>
      <w:r>
        <w:t xml:space="preserve">, recommending that carbohydrate intake for all individuals two years and older should come primarily from</w:t>
      </w:r>
      <w:r>
        <w:t xml:space="preserve"> </w:t>
      </w:r>
      <w:r>
        <w:rPr>
          <w:b/>
          <w:bCs/>
        </w:rPr>
        <w:t xml:space="preserve">whole grains, vegetables, fruits, and pulses</w:t>
      </w:r>
      <w:r>
        <w:t xml:space="preserve"> </w:t>
      </w:r>
      <w:hyperlink r:id="rId22">
        <w:r>
          <w:rPr>
            <w:rStyle w:val="af"/>
          </w:rPr>
          <w:t xml:space="preserve">(National Center for Biotechnology Information)</w:t>
        </w:r>
      </w:hyperlink>
      <w:r>
        <w:t xml:space="preserve"> </w:t>
      </w:r>
      <w:hyperlink r:id="rId23">
        <w:r>
          <w:rPr>
            <w:rStyle w:val="af"/>
          </w:rPr>
          <w:t xml:space="preserve">(Source)</w:t>
        </w:r>
      </w:hyperlink>
      <w:r>
        <w:t xml:space="preserve"> </w:t>
      </w:r>
      <w:r>
        <w:t xml:space="preserve">. This strong recommendation derives from seven systematic reviews demonstrating consistent protective associations between these foods and reduced all-cause mortality, cardiovascular disease, type 2 diabetes, and colorectal cancer. For</w:t>
      </w:r>
      <w:r>
        <w:t xml:space="preserve"> </w:t>
      </w:r>
      <w:r>
        <w:rPr>
          <w:b/>
          <w:bCs/>
        </w:rPr>
        <w:t xml:space="preserve">dietary fiber, WHO recommends minimum 25 grams per day</w:t>
      </w:r>
      <w:r>
        <w:t xml:space="preserve"> </w:t>
      </w:r>
      <w:r>
        <w:t xml:space="preserve">for adults, with the steepest risk reduction observed up to 400 grams per day of combined vegetables and fruits</w:t>
      </w:r>
      <w:r>
        <w:t xml:space="preserve"> </w:t>
      </w:r>
      <w:hyperlink r:id="rId22">
        <w:r>
          <w:rPr>
            <w:rStyle w:val="af"/>
          </w:rPr>
          <w:t xml:space="preserve">(National Center for Biotechnology Information)</w:t>
        </w:r>
      </w:hyperlink>
      <w:r>
        <w:t xml:space="preserve"> </w:t>
      </w:r>
      <w:r>
        <w:t xml:space="preserve">. Age-graded fiber recommendations for children are:</w:t>
      </w:r>
      <w:r>
        <w:t xml:space="preserve"> </w:t>
      </w:r>
      <w:r>
        <w:rPr>
          <w:b/>
          <w:bCs/>
        </w:rPr>
        <w:t xml:space="preserve">15 grams/day for ages 2–5 years, 21 grams/day for ages 6–9 years, and 25 grams/day for those 10 years and older</w:t>
      </w:r>
      <w:r>
        <w:t xml:space="preserve"> </w:t>
      </w:r>
      <w:hyperlink r:id="rId22">
        <w:r>
          <w:rPr>
            <w:rStyle w:val="af"/>
          </w:rPr>
          <w:t xml:space="preserve">(National Center for Biotechnology Information)</w:t>
        </w:r>
      </w:hyperlink>
      <w:r>
        <w:t xml:space="preserve"> </w:t>
      </w:r>
      <w:r>
        <w:t xml:space="preserve">.</w:t>
      </w:r>
    </w:p>
    <w:tbl>
      <w:tblPr>
        <w:tblStyle w:val="Table"/>
        <w:tblW w:type="pct" w:w="5000"/>
        <w:jc w:val="left"/>
        <w:tblLayout w:type="fixed"/>
        <w:tblLook w:firstRow="1" w:lastRow="0" w:firstColumn="0" w:lastColumn="0" w:noHBand="0" w:noVBand="0" w:val="0020"/>
      </w:tblPr>
      <w:tblGrid>
        <w:gridCol w:w="1683"/>
        <w:gridCol w:w="1782"/>
        <w:gridCol w:w="594"/>
        <w:gridCol w:w="2079"/>
        <w:gridCol w:w="1782"/>
      </w:tblGrid>
      <w:tr>
        <w:trPr>
          <w:tblHeader w:val="on"/>
        </w:trPr>
        <w:tc>
          <w:tcPr/>
          <w:p>
            <w:pPr>
              <w:pStyle w:val="Compact"/>
              <w:jc w:val="left"/>
            </w:pPr>
            <w:r>
              <w:t xml:space="preserve">Population Group</w:t>
            </w:r>
          </w:p>
        </w:tc>
        <w:tc>
          <w:tcPr/>
          <w:p>
            <w:pPr>
              <w:pStyle w:val="Compact"/>
              <w:jc w:val="left"/>
            </w:pPr>
            <w:r>
              <w:t xml:space="preserve">Carbohydrate RDA</w:t>
            </w:r>
          </w:p>
        </w:tc>
        <w:tc>
          <w:tcPr/>
          <w:p>
            <w:pPr>
              <w:pStyle w:val="Compact"/>
              <w:jc w:val="left"/>
            </w:pPr>
            <w:r>
              <w:t xml:space="preserve">AMDR</w:t>
            </w:r>
          </w:p>
        </w:tc>
        <w:tc>
          <w:tcPr/>
          <w:p>
            <w:pPr>
              <w:pStyle w:val="Compact"/>
              <w:jc w:val="left"/>
            </w:pPr>
            <w:r>
              <w:t xml:space="preserve">Fiber Recommendation</w:t>
            </w:r>
          </w:p>
        </w:tc>
        <w:tc>
          <w:tcPr/>
          <w:p>
            <w:pPr>
              <w:pStyle w:val="Compact"/>
              <w:jc w:val="left"/>
            </w:pPr>
            <w:r>
              <w:t xml:space="preserve">Key Food Sources</w:t>
            </w:r>
          </w:p>
        </w:tc>
      </w:tr>
      <w:tr>
        <w:tc>
          <w:tcPr/>
          <w:p>
            <w:pPr>
              <w:pStyle w:val="Compact"/>
              <w:jc w:val="left"/>
            </w:pPr>
            <w:r>
              <w:t xml:space="preserve">Adults (≥19 years)</w:t>
            </w:r>
          </w:p>
        </w:tc>
        <w:tc>
          <w:tcPr/>
          <w:p>
            <w:pPr>
              <w:pStyle w:val="Compact"/>
              <w:jc w:val="left"/>
            </w:pPr>
            <w:r>
              <w:t xml:space="preserve">130 g/day</w:t>
            </w:r>
          </w:p>
        </w:tc>
        <w:tc>
          <w:tcPr/>
          <w:p>
            <w:pPr>
              <w:pStyle w:val="Compact"/>
              <w:jc w:val="left"/>
            </w:pPr>
            <w:r>
              <w:t xml:space="preserve">45–65% calories</w:t>
            </w:r>
          </w:p>
        </w:tc>
        <w:tc>
          <w:tcPr/>
          <w:p>
            <w:pPr>
              <w:pStyle w:val="Compact"/>
              <w:jc w:val="left"/>
            </w:pPr>
            <w:r>
              <w:t xml:space="preserve">≥25 g/day (WHO); 14 g/1000 kcal (IOM)</w:t>
            </w:r>
          </w:p>
        </w:tc>
        <w:tc>
          <w:tcPr/>
          <w:p>
            <w:pPr>
              <w:pStyle w:val="Compact"/>
              <w:jc w:val="left"/>
            </w:pPr>
            <w:r>
              <w:t xml:space="preserve">Whole grains, vegetables, fruits, pulses, nuts, seeds</w:t>
            </w:r>
          </w:p>
        </w:tc>
      </w:tr>
      <w:tr>
        <w:tc>
          <w:tcPr/>
          <w:p>
            <w:pPr>
              <w:pStyle w:val="Compact"/>
              <w:jc w:val="left"/>
            </w:pPr>
            <w:r>
              <w:t xml:space="preserve">Children 2–5 years</w:t>
            </w:r>
          </w:p>
        </w:tc>
        <w:tc>
          <w:tcPr/>
          <w:p>
            <w:pPr>
              <w:pStyle w:val="Compact"/>
              <w:jc w:val="left"/>
            </w:pPr>
            <w:r>
              <w:t xml:space="preserve">130 g/day</w:t>
            </w:r>
          </w:p>
        </w:tc>
        <w:tc>
          <w:tcPr/>
          <w:p>
            <w:pPr>
              <w:pStyle w:val="Compact"/>
              <w:jc w:val="left"/>
            </w:pPr>
            <w:r>
              <w:t xml:space="preserve">45–65% calories</w:t>
            </w:r>
          </w:p>
        </w:tc>
        <w:tc>
          <w:tcPr/>
          <w:p>
            <w:pPr>
              <w:pStyle w:val="Compact"/>
              <w:jc w:val="left"/>
            </w:pPr>
            <w:r>
              <w:t xml:space="preserve">≥15 g/day</w:t>
            </w:r>
          </w:p>
        </w:tc>
        <w:tc>
          <w:tcPr/>
          <w:p>
            <w:pPr>
              <w:pStyle w:val="Compact"/>
              <w:jc w:val="left"/>
            </w:pPr>
            <w:r>
              <w:t xml:space="preserve">Whole grain cereals, fruits, vegetables, legumes</w:t>
            </w:r>
          </w:p>
        </w:tc>
      </w:tr>
      <w:tr>
        <w:tc>
          <w:tcPr/>
          <w:p>
            <w:pPr>
              <w:pStyle w:val="Compact"/>
              <w:jc w:val="left"/>
            </w:pPr>
            <w:r>
              <w:t xml:space="preserve">Children 6–9 years</w:t>
            </w:r>
          </w:p>
        </w:tc>
        <w:tc>
          <w:tcPr/>
          <w:p>
            <w:pPr>
              <w:pStyle w:val="Compact"/>
              <w:jc w:val="left"/>
            </w:pPr>
            <w:r>
              <w:t xml:space="preserve">130 g/day</w:t>
            </w:r>
          </w:p>
        </w:tc>
        <w:tc>
          <w:tcPr/>
          <w:p>
            <w:pPr>
              <w:pStyle w:val="Compact"/>
              <w:jc w:val="left"/>
            </w:pPr>
            <w:r>
              <w:t xml:space="preserve">45–65% calories</w:t>
            </w:r>
          </w:p>
        </w:tc>
        <w:tc>
          <w:tcPr/>
          <w:p>
            <w:pPr>
              <w:pStyle w:val="Compact"/>
              <w:jc w:val="left"/>
            </w:pPr>
            <w:r>
              <w:t xml:space="preserve">≥21 g/day</w:t>
            </w:r>
          </w:p>
        </w:tc>
        <w:tc>
          <w:tcPr/>
          <w:p>
            <w:pPr>
              <w:pStyle w:val="Compact"/>
              <w:jc w:val="left"/>
            </w:pPr>
            <w:r>
              <w:t xml:space="preserve">Expanded variety of whole plant foods</w:t>
            </w:r>
          </w:p>
        </w:tc>
      </w:tr>
      <w:tr>
        <w:tc>
          <w:tcPr/>
          <w:p>
            <w:pPr>
              <w:pStyle w:val="Compact"/>
              <w:jc w:val="left"/>
            </w:pPr>
            <w:r>
              <w:t xml:space="preserve">Adolescents ≥10 years</w:t>
            </w:r>
          </w:p>
        </w:tc>
        <w:tc>
          <w:tcPr/>
          <w:p>
            <w:pPr>
              <w:pStyle w:val="Compact"/>
              <w:jc w:val="left"/>
            </w:pPr>
            <w:r>
              <w:t xml:space="preserve">130 g/day</w:t>
            </w:r>
          </w:p>
        </w:tc>
        <w:tc>
          <w:tcPr/>
          <w:p>
            <w:pPr>
              <w:pStyle w:val="Compact"/>
              <w:jc w:val="left"/>
            </w:pPr>
            <w:r>
              <w:t xml:space="preserve">45–65% calories</w:t>
            </w:r>
          </w:p>
        </w:tc>
        <w:tc>
          <w:tcPr/>
          <w:p>
            <w:pPr>
              <w:pStyle w:val="Compact"/>
              <w:jc w:val="left"/>
            </w:pPr>
            <w:r>
              <w:t xml:space="preserve">≥25 g/day</w:t>
            </w:r>
          </w:p>
        </w:tc>
        <w:tc>
          <w:tcPr/>
          <w:p>
            <w:pPr>
              <w:pStyle w:val="Compact"/>
              <w:jc w:val="left"/>
            </w:pPr>
            <w:r>
              <w:t xml:space="preserve">Adult-appropriate portions of fiber-rich foods</w:t>
            </w:r>
          </w:p>
        </w:tc>
      </w:tr>
      <w:tr>
        <w:tc>
          <w:tcPr/>
          <w:p>
            <w:pPr>
              <w:pStyle w:val="Compact"/>
              <w:jc w:val="left"/>
            </w:pPr>
            <w:r>
              <w:t xml:space="preserve">Elderly (&gt;50 years)</w:t>
            </w:r>
          </w:p>
        </w:tc>
        <w:tc>
          <w:tcPr/>
          <w:p>
            <w:pPr>
              <w:pStyle w:val="Compact"/>
              <w:jc w:val="left"/>
            </w:pPr>
            <w:r>
              <w:t xml:space="preserve">130 g/day</w:t>
            </w:r>
          </w:p>
        </w:tc>
        <w:tc>
          <w:tcPr/>
          <w:p>
            <w:pPr>
              <w:pStyle w:val="Compact"/>
              <w:jc w:val="left"/>
            </w:pPr>
            <w:r>
              <w:t xml:space="preserve">45–65% calories</w:t>
            </w:r>
          </w:p>
        </w:tc>
        <w:tc>
          <w:tcPr/>
          <w:p>
            <w:pPr>
              <w:pStyle w:val="Compact"/>
              <w:jc w:val="left"/>
            </w:pPr>
            <w:r>
              <w:t xml:space="preserve">≥30 g/day (men), ≥21 g/day (women)</w:t>
            </w:r>
          </w:p>
        </w:tc>
        <w:tc>
          <w:tcPr/>
          <w:p>
            <w:pPr>
              <w:pStyle w:val="Compact"/>
              <w:jc w:val="left"/>
            </w:pPr>
            <w:r>
              <w:t xml:space="preserve">Soft-cooked whole grains, well-cooked legumes, ripe fruits</w:t>
            </w:r>
          </w:p>
        </w:tc>
      </w:tr>
    </w:tbl>
    <w:p>
      <w:pPr>
        <w:pStyle w:val="a0"/>
      </w:pPr>
      <w:r>
        <w:t xml:space="preserve">The distinction between fiber types carries functional significance.</w:t>
      </w:r>
      <w:r>
        <w:t xml:space="preserve"> </w:t>
      </w:r>
      <w:r>
        <w:rPr>
          <w:b/>
          <w:bCs/>
        </w:rPr>
        <w:t xml:space="preserve">Soluble fiber</w:t>
      </w:r>
      <w:r>
        <w:t xml:space="preserve"> </w:t>
      </w:r>
      <w:r>
        <w:t xml:space="preserve">(beta-glucans, pectins, gums) dissolves in water to form viscous gels that slow gastric emptying, reduce cholesterol absorption, and improve glycemic control.</w:t>
      </w:r>
      <w:r>
        <w:t xml:space="preserve"> </w:t>
      </w:r>
      <w:r>
        <w:rPr>
          <w:b/>
          <w:bCs/>
        </w:rPr>
        <w:t xml:space="preserve">Insoluble fiber</w:t>
      </w:r>
      <w:r>
        <w:t xml:space="preserve"> </w:t>
      </w:r>
      <w:r>
        <w:t xml:space="preserve">(cellulose, hemicellulose, lignin) adds bulk to stool, accelerates transit time, and promotes laxation. Fermentable fibers (resistant starch, inulin, oligosaccharides) serve as substrate for gut microbiota, producing</w:t>
      </w:r>
      <w:r>
        <w:t xml:space="preserve"> </w:t>
      </w:r>
      <w:r>
        <w:rPr>
          <w:b/>
          <w:bCs/>
        </w:rPr>
        <w:t xml:space="preserve">short-chain fatty acids</w:t>
      </w:r>
      <w:r>
        <w:t xml:space="preserve"> </w:t>
      </w:r>
      <w:r>
        <w:t xml:space="preserve">(acetate, propionate, butyrate) that nourish colonocytes, regulate immune function, and influence systemic metabolism. These fermentation products contribute approximately</w:t>
      </w:r>
      <w:r>
        <w:t xml:space="preserve"> </w:t>
      </w:r>
      <w:r>
        <w:rPr>
          <w:b/>
          <w:bCs/>
        </w:rPr>
        <w:t xml:space="preserve">2 kilocalories per gram</w:t>
      </w:r>
      <w:r>
        <w:t xml:space="preserve">, compared to 4 kilocalories per gram for digestible carbohydrates</w:t>
      </w:r>
      <w:r>
        <w:t xml:space="preserve"> </w:t>
      </w:r>
      <w:hyperlink r:id="rId21">
        <w:r>
          <w:rPr>
            <w:rStyle w:val="af"/>
          </w:rPr>
          <w:t xml:space="preserve">(nih.gov)</w:t>
        </w:r>
      </w:hyperlink>
      <w:r>
        <w:t xml:space="preserve"> </w:t>
      </w:r>
      <w:r>
        <w:t xml:space="preserve">.</w:t>
      </w:r>
    </w:p>
    <w:bookmarkEnd w:id="24"/>
    <w:bookmarkStart w:id="25" w:name="X199a6608c5352e7d431ee0fe2a45be9bf0ed058"/>
    <w:p>
      <w:pPr>
        <w:pStyle w:val="4"/>
      </w:pPr>
      <w:r>
        <w:t xml:space="preserve">1.1.2 Proteins: Amino Acid Profiles and Biological Value</w:t>
      </w:r>
    </w:p>
    <w:p>
      <w:pPr>
        <w:pStyle w:val="FirstParagraph"/>
      </w:pPr>
      <w:r>
        <w:t xml:space="preserve">Proteins provide the structural and functional foundation of human physiology, with requirements defined by</w:t>
      </w:r>
      <w:r>
        <w:t xml:space="preserve"> </w:t>
      </w:r>
      <w:r>
        <w:rPr>
          <w:b/>
          <w:bCs/>
        </w:rPr>
        <w:t xml:space="preserve">essential amino acids</w:t>
      </w:r>
      <w:r>
        <w:t xml:space="preserve">—nine compounds (histidine, isoleucine, leucine, lysine, methionine, phenylalanine, threonine, tryptophan, valine) that cannot be synthesized de novo and must be obtained from dietary sources.</w:t>
      </w:r>
      <w:r>
        <w:t xml:space="preserve"> </w:t>
      </w:r>
      <w:r>
        <w:rPr>
          <w:b/>
          <w:bCs/>
        </w:rPr>
        <w:t xml:space="preserve">Non-essential amino acids</w:t>
      </w:r>
      <w:r>
        <w:t xml:space="preserve"> </w:t>
      </w:r>
      <w:r>
        <w:t xml:space="preserve">can be produced from metabolic intermediates, though certain</w:t>
      </w:r>
      <w:r>
        <w:t xml:space="preserve"> </w:t>
      </w:r>
      <w:r>
        <w:rPr>
          <w:b/>
          <w:bCs/>
        </w:rPr>
        <w:t xml:space="preserve">conditionally essential amino acids</w:t>
      </w:r>
      <w:r>
        <w:t xml:space="preserve"> </w:t>
      </w:r>
      <w:r>
        <w:t xml:space="preserve">(arginine, cysteine, glutamine, glycine, proline, tyrosine) become indispensable during rapid growth, illness, or metabolic stress when endogenous synthesis proves inadequate.</w:t>
      </w:r>
    </w:p>
    <w:p>
      <w:pPr>
        <w:pStyle w:val="a0"/>
      </w:pPr>
      <w:r>
        <w:t xml:space="preserve">The</w:t>
      </w:r>
      <w:r>
        <w:t xml:space="preserve"> </w:t>
      </w:r>
      <w:r>
        <w:rPr>
          <w:b/>
          <w:bCs/>
        </w:rPr>
        <w:t xml:space="preserve">AMDR for protein spans 10–35% of total caloric intake</w:t>
      </w:r>
      <w:r>
        <w:t xml:space="preserve"> </w:t>
      </w:r>
      <w:hyperlink r:id="rId20">
        <w:r>
          <w:rPr>
            <w:rStyle w:val="af"/>
          </w:rPr>
          <w:t xml:space="preserve">(Medicine LibreTexts)</w:t>
        </w:r>
      </w:hyperlink>
      <w:r>
        <w:t xml:space="preserve"> </w:t>
      </w:r>
      <w:r>
        <w:t xml:space="preserve">, accommodating diverse physiological needs from minimum deficiency prevention to optimized muscle protein synthesis. At the lower bound, 10% of calories (approximately 50 grams on a 2000-calorie diet) prevents deficiency in sedentary adults. The upper bound supports athletes, older adults combating sarcopenia, and higher-protein dietary patterns for weight management.</w:t>
      </w:r>
      <w:r>
        <w:t xml:space="preserve"> </w:t>
      </w:r>
      <w:r>
        <w:rPr>
          <w:b/>
          <w:bCs/>
        </w:rPr>
        <w:t xml:space="preserve">Protein quality</w:t>
      </w:r>
      <w:r>
        <w:t xml:space="preserve"> </w:t>
      </w:r>
      <w:r>
        <w:t xml:space="preserve">assessment centers on amino acid composition and bioavailability:</w:t>
      </w:r>
      <w:r>
        <w:t xml:space="preserve"> </w:t>
      </w:r>
      <w:r>
        <w:rPr>
          <w:b/>
          <w:bCs/>
        </w:rPr>
        <w:t xml:space="preserve">complete proteins</w:t>
      </w:r>
      <w:r>
        <w:t xml:space="preserve"> </w:t>
      </w:r>
      <w:r>
        <w:t xml:space="preserve">contain all essential amino acids in adequate proportions, with animal-source foods (meat, poultry, fish, eggs, dairy) and soy providing high biological value.</w:t>
      </w:r>
      <w:r>
        <w:t xml:space="preserve"> </w:t>
      </w:r>
      <w:r>
        <w:rPr>
          <w:b/>
          <w:bCs/>
        </w:rPr>
        <w:t xml:space="preserve">Incomplete proteins</w:t>
      </w:r>
      <w:r>
        <w:t xml:space="preserve">, typical of most plant sources, lack adequate amounts of one or more essential amino acids—particularly lysine in grains and methionine in legumes. However,</w:t>
      </w:r>
      <w:r>
        <w:t xml:space="preserve"> </w:t>
      </w:r>
      <w:r>
        <w:rPr>
          <w:b/>
          <w:bCs/>
        </w:rPr>
        <w:t xml:space="preserve">complementary protein combining across plant food groups</w:t>
      </w:r>
      <w:r>
        <w:t xml:space="preserve"> </w:t>
      </w:r>
      <w:r>
        <w:t xml:space="preserve">(grains with legumes, nuts with seeds) achieves complete amino acid profiles within a single day, supporting adequate nutrition on vegetarian and vegan diets when properly planned</w:t>
      </w:r>
      <w:r>
        <w:t xml:space="preserve"> </w:t>
      </w:r>
      <w:hyperlink r:id="rId20">
        <w:r>
          <w:rPr>
            <w:rStyle w:val="af"/>
          </w:rPr>
          <w:t xml:space="preserve">(Medicine LibreTexts)</w:t>
        </w:r>
      </w:hyperlink>
      <w:r>
        <w:t xml:space="preserve"> </w:t>
      </w:r>
      <w:r>
        <w:t xml:space="preserve">.</w:t>
      </w:r>
    </w:p>
    <w:p>
      <w:pPr>
        <w:pStyle w:val="a0"/>
      </w:pPr>
      <w:r>
        <w:t xml:space="preserve">The concept of</w:t>
      </w:r>
      <w:r>
        <w:t xml:space="preserve"> </w:t>
      </w:r>
      <w:r>
        <w:rPr>
          <w:b/>
          <w:bCs/>
        </w:rPr>
        <w:t xml:space="preserve">biological value</w:t>
      </w:r>
      <w:r>
        <w:t xml:space="preserve"> </w:t>
      </w:r>
      <w:r>
        <w:t xml:space="preserve">measures the proportion of absorbed nitrogen retained for body functions, with egg protein traditionally serving as the reference standard.</w:t>
      </w:r>
      <w:r>
        <w:t xml:space="preserve"> </w:t>
      </w:r>
      <w:r>
        <w:rPr>
          <w:b/>
          <w:bCs/>
        </w:rPr>
        <w:t xml:space="preserve">Protein digestibility-corrected amino acid score (PDCAAS)</w:t>
      </w:r>
      <w:r>
        <w:t xml:space="preserve"> </w:t>
      </w:r>
      <w:r>
        <w:t xml:space="preserve">and the more recent</w:t>
      </w:r>
      <w:r>
        <w:t xml:space="preserve"> </w:t>
      </w:r>
      <w:r>
        <w:rPr>
          <w:b/>
          <w:bCs/>
        </w:rPr>
        <w:t xml:space="preserve">digestible indispensable amino acid score (DIAAS)</w:t>
      </w:r>
      <w:r>
        <w:t xml:space="preserve"> </w:t>
      </w:r>
      <w:r>
        <w:t xml:space="preserve">provide standardized frameworks for comparing protein quality across foods. These metrics have practical importance for populations relying heavily on plant proteins, where strategic food combining and processing methods (soaking, sprouting, fermenting) can improve amino acid availability.</w:t>
      </w:r>
    </w:p>
    <w:bookmarkEnd w:id="25"/>
    <w:bookmarkStart w:id="27" w:name="X9e48076bfdc40678a876f9b06522b58429e7dd6"/>
    <w:p>
      <w:pPr>
        <w:pStyle w:val="4"/>
      </w:pPr>
      <w:r>
        <w:t xml:space="preserve">1.1.3 Fats: Quality, Quantity, and Fatty Acid Composition</w:t>
      </w:r>
    </w:p>
    <w:p>
      <w:pPr>
        <w:pStyle w:val="FirstParagraph"/>
      </w:pPr>
      <w:r>
        <w:t xml:space="preserve">Dietary fats serve critical functions in energy provision (</w:t>
      </w:r>
      <w:r>
        <w:rPr>
          <w:b/>
          <w:bCs/>
        </w:rPr>
        <w:t xml:space="preserve">9 kilocalories per gram</w:t>
      </w:r>
      <w:r>
        <w:t xml:space="preserve">, more than double carbohydrate or protein), essential fatty acid supply, fat-soluble vitamin absorption, cell membrane structure, and hormone precursor availability. The</w:t>
      </w:r>
      <w:r>
        <w:t xml:space="preserve"> </w:t>
      </w:r>
      <w:r>
        <w:rPr>
          <w:b/>
          <w:bCs/>
        </w:rPr>
        <w:t xml:space="preserve">AMDR for total fat spans 20–35% of caloric intake</w:t>
      </w:r>
      <w:r>
        <w:t xml:space="preserve"> </w:t>
      </w:r>
      <w:hyperlink r:id="rId20">
        <w:r>
          <w:rPr>
            <w:rStyle w:val="af"/>
          </w:rPr>
          <w:t xml:space="preserve">(Medicine LibreTexts)</w:t>
        </w:r>
      </w:hyperlink>
      <w:r>
        <w:t xml:space="preserve"> </w:t>
      </w:r>
      <w:r>
        <w:t xml:space="preserve">, with</w:t>
      </w:r>
      <w:r>
        <w:t xml:space="preserve"> </w:t>
      </w:r>
      <w:r>
        <w:rPr>
          <w:b/>
          <w:bCs/>
        </w:rPr>
        <w:t xml:space="preserve">WHO recommending limitation to ≤30% of total energy intake</w:t>
      </w:r>
      <w:r>
        <w:t xml:space="preserve"> </w:t>
      </w:r>
      <w:hyperlink r:id="rId26">
        <w:r>
          <w:rPr>
            <w:rStyle w:val="af"/>
          </w:rPr>
          <w:t xml:space="preserve">(WHO)</w:t>
        </w:r>
      </w:hyperlink>
      <w:r>
        <w:t xml:space="preserve"> </w:t>
      </w:r>
      <w:r>
        <w:t xml:space="preserve">. Within this range,</w:t>
      </w:r>
      <w:r>
        <w:t xml:space="preserve"> </w:t>
      </w:r>
      <w:r>
        <w:rPr>
          <w:b/>
          <w:bCs/>
        </w:rPr>
        <w:t xml:space="preserve">fatty acid quality profoundly influences health outcomes</w:t>
      </w:r>
      <w:r>
        <w:t xml:space="preserve">.</w:t>
      </w:r>
    </w:p>
    <w:tbl>
      <w:tblPr>
        <w:tblStyle w:val="Table"/>
        <w:tblW w:type="pct" w:w="5000"/>
        <w:jc w:val="left"/>
        <w:tblLayout w:type="fixed"/>
        <w:tblLook w:firstRow="1" w:lastRow="0" w:firstColumn="0" w:lastColumn="0" w:noHBand="0" w:noVBand="0" w:val="0020"/>
      </w:tblPr>
      <w:tblGrid>
        <w:gridCol w:w="2475"/>
        <w:gridCol w:w="1856"/>
        <w:gridCol w:w="1856"/>
        <w:gridCol w:w="1732"/>
      </w:tblGrid>
      <w:tr>
        <w:trPr>
          <w:tblHeader w:val="on"/>
        </w:trPr>
        <w:tc>
          <w:tcPr/>
          <w:p>
            <w:pPr>
              <w:pStyle w:val="Compact"/>
              <w:jc w:val="left"/>
            </w:pPr>
            <w:r>
              <w:t xml:space="preserve">Fatty Acid Category</w:t>
            </w:r>
          </w:p>
        </w:tc>
        <w:tc>
          <w:tcPr/>
          <w:p>
            <w:pPr>
              <w:pStyle w:val="Compact"/>
              <w:jc w:val="left"/>
            </w:pPr>
            <w:r>
              <w:t xml:space="preserve">Characteristics</w:t>
            </w:r>
          </w:p>
        </w:tc>
        <w:tc>
          <w:tcPr/>
          <w:p>
            <w:pPr>
              <w:pStyle w:val="Compact"/>
              <w:jc w:val="left"/>
            </w:pPr>
            <w:r>
              <w:t xml:space="preserve">Primary Sources</w:t>
            </w:r>
          </w:p>
        </w:tc>
        <w:tc>
          <w:tcPr/>
          <w:p>
            <w:pPr>
              <w:pStyle w:val="Compact"/>
              <w:jc w:val="left"/>
            </w:pPr>
            <w:r>
              <w:t xml:space="preserve">Health Effects</w:t>
            </w:r>
          </w:p>
        </w:tc>
      </w:tr>
      <w:tr>
        <w:tc>
          <w:tcPr/>
          <w:p>
            <w:pPr>
              <w:pStyle w:val="Compact"/>
              <w:jc w:val="left"/>
            </w:pPr>
            <w:r>
              <w:rPr>
                <w:b/>
                <w:bCs/>
              </w:rPr>
              <w:t xml:space="preserve">Saturated fatty acids (SFA)</w:t>
            </w:r>
          </w:p>
        </w:tc>
        <w:tc>
          <w:tcPr/>
          <w:p>
            <w:pPr>
              <w:pStyle w:val="Compact"/>
              <w:jc w:val="left"/>
            </w:pPr>
            <w:r>
              <w:t xml:space="preserve">No double bonds; solid at room temperature</w:t>
            </w:r>
          </w:p>
        </w:tc>
        <w:tc>
          <w:tcPr/>
          <w:p>
            <w:pPr>
              <w:pStyle w:val="Compact"/>
              <w:jc w:val="left"/>
            </w:pPr>
            <w:r>
              <w:t xml:space="preserve">Fatty meat, butter, cheese, palm oil, coconut oil, ghee</w:t>
            </w:r>
          </w:p>
        </w:tc>
        <w:tc>
          <w:tcPr/>
          <w:p>
            <w:pPr>
              <w:pStyle w:val="Compact"/>
              <w:jc w:val="left"/>
            </w:pPr>
            <w:r>
              <w:t xml:space="preserve">Elevates LDL cholesterol; increases cardiovascular disease risk when replacing unsaturated fats</w:t>
            </w:r>
          </w:p>
        </w:tc>
      </w:tr>
      <w:tr>
        <w:tc>
          <w:tcPr/>
          <w:p>
            <w:pPr>
              <w:pStyle w:val="Compact"/>
              <w:jc w:val="left"/>
            </w:pPr>
            <w:r>
              <w:rPr>
                <w:b/>
                <w:bCs/>
              </w:rPr>
              <w:t xml:space="preserve">Monounsaturated fatty acids (MUFA)</w:t>
            </w:r>
          </w:p>
        </w:tc>
        <w:tc>
          <w:tcPr/>
          <w:p>
            <w:pPr>
              <w:pStyle w:val="Compact"/>
              <w:jc w:val="left"/>
            </w:pPr>
            <w:r>
              <w:t xml:space="preserve">One double bond; liquid at room temperature</w:t>
            </w:r>
          </w:p>
        </w:tc>
        <w:tc>
          <w:tcPr/>
          <w:p>
            <w:pPr>
              <w:pStyle w:val="Compact"/>
              <w:jc w:val="left"/>
            </w:pPr>
            <w:r>
              <w:t xml:space="preserve">Olive oil, avocados, most nuts, canola oil</w:t>
            </w:r>
          </w:p>
        </w:tc>
        <w:tc>
          <w:tcPr/>
          <w:p>
            <w:pPr>
              <w:pStyle w:val="Compact"/>
              <w:jc w:val="left"/>
            </w:pPr>
            <w:r>
              <w:t xml:space="preserve">Neutral to beneficial effects on lipids; cornerstone of Mediterranean diet benefits</w:t>
            </w:r>
          </w:p>
        </w:tc>
      </w:tr>
      <w:tr>
        <w:tc>
          <w:tcPr/>
          <w:p>
            <w:pPr>
              <w:pStyle w:val="Compact"/>
              <w:jc w:val="left"/>
            </w:pPr>
            <w:r>
              <w:rPr>
                <w:b/>
                <w:bCs/>
              </w:rPr>
              <w:t xml:space="preserve">Polyunsaturated fatty acids (PUFA)</w:t>
            </w:r>
          </w:p>
        </w:tc>
        <w:tc>
          <w:tcPr/>
          <w:p>
            <w:pPr>
              <w:pStyle w:val="Compact"/>
              <w:jc w:val="left"/>
            </w:pPr>
            <w:r>
              <w:t xml:space="preserve">Two or more double bonds</w:t>
            </w:r>
          </w:p>
        </w:tc>
        <w:tc>
          <w:tcPr/>
          <w:p>
            <w:pPr>
              <w:pStyle w:val="Compact"/>
              <w:jc w:val="left"/>
            </w:pPr>
            <w:r>
              <w:t xml:space="preserve">Fatty fish, walnuts, flaxseed, sunflower oil, corn oil</w:t>
            </w:r>
          </w:p>
        </w:tc>
        <w:tc>
          <w:tcPr/>
          <w:p>
            <w:pPr>
              <w:pStyle w:val="Compact"/>
              <w:jc w:val="left"/>
            </w:pPr>
            <w:r>
              <w:t xml:space="preserve">Reduces LDL cholesterol; essential fatty acid source; anti-inflammatory effects</w:t>
            </w:r>
          </w:p>
        </w:tc>
      </w:tr>
      <w:tr>
        <w:tc>
          <w:tcPr/>
          <w:p>
            <w:pPr>
              <w:pStyle w:val="Compact"/>
              <w:jc w:val="left"/>
            </w:pPr>
            <w:r>
              <w:rPr>
                <w:b/>
                <w:bCs/>
              </w:rPr>
              <w:t xml:space="preserve">Trans-fatty acids</w:t>
            </w:r>
          </w:p>
        </w:tc>
        <w:tc>
          <w:tcPr/>
          <w:p>
            <w:pPr>
              <w:pStyle w:val="Compact"/>
              <w:jc w:val="left"/>
            </w:pPr>
            <w:r>
              <w:t xml:space="preserve">Partially hydrogenated or ruminant-derived</w:t>
            </w:r>
          </w:p>
        </w:tc>
        <w:tc>
          <w:tcPr/>
          <w:p>
            <w:pPr>
              <w:pStyle w:val="Compact"/>
              <w:jc w:val="left"/>
            </w:pPr>
            <w:r>
              <w:t xml:space="preserve">Baked/fried foods, pre-packaged snacks, some dairy/beef</w:t>
            </w:r>
          </w:p>
        </w:tc>
        <w:tc>
          <w:tcPr/>
          <w:p>
            <w:pPr>
              <w:pStyle w:val="Compact"/>
              <w:jc w:val="left"/>
            </w:pPr>
            <w:r>
              <w:t xml:space="preserve">Strongly adverse: raises LDL, lowers HDL, increases cardiovascular risk</w:t>
            </w:r>
          </w:p>
        </w:tc>
      </w:tr>
    </w:tbl>
    <w:p>
      <w:pPr>
        <w:pStyle w:val="a0"/>
      </w:pPr>
      <w:r>
        <w:rPr>
          <w:b/>
          <w:bCs/>
        </w:rPr>
        <w:t xml:space="preserve">WHO guidelines specify that saturated fats should contribute ≤10% of total energy, and trans-fatty acids ≤1%</w:t>
      </w:r>
      <w:r>
        <w:t xml:space="preserve"> </w:t>
      </w:r>
      <w:r>
        <w:t xml:space="preserve">from all sources</w:t>
      </w:r>
      <w:r>
        <w:t xml:space="preserve"> </w:t>
      </w:r>
      <w:hyperlink r:id="rId26">
        <w:r>
          <w:rPr>
            <w:rStyle w:val="af"/>
          </w:rPr>
          <w:t xml:space="preserve">(WHO)</w:t>
        </w:r>
      </w:hyperlink>
      <w:r>
        <w:t xml:space="preserve"> </w:t>
      </w:r>
      <w:r>
        <w:t xml:space="preserve">. Replacement of saturated and trans-fats with</w:t>
      </w:r>
      <w:r>
        <w:t xml:space="preserve"> </w:t>
      </w:r>
      <w:r>
        <w:rPr>
          <w:b/>
          <w:bCs/>
        </w:rPr>
        <w:t xml:space="preserve">polyunsaturated fatty acids (PUFAs) and monounsaturated fatty acids (MUFAs) from plant sources</w:t>
      </w:r>
      <w:r>
        <w:t xml:space="preserve">, or with carbohydrates from fiber-containing whole grains, vegetables, fruits, and pulses, reduces cardiovascular risk</w:t>
      </w:r>
      <w:r>
        <w:t xml:space="preserve"> </w:t>
      </w:r>
      <w:hyperlink r:id="rId26">
        <w:r>
          <w:rPr>
            <w:rStyle w:val="af"/>
          </w:rPr>
          <w:t xml:space="preserve">(WHO)</w:t>
        </w:r>
      </w:hyperlink>
      <w:r>
        <w:t xml:space="preserve"> </w:t>
      </w:r>
      <w:r>
        <w:t xml:space="preserve">.</w:t>
      </w:r>
    </w:p>
    <w:p>
      <w:pPr>
        <w:pStyle w:val="a0"/>
      </w:pPr>
      <w:r>
        <w:t xml:space="preserve">The</w:t>
      </w:r>
      <w:r>
        <w:t xml:space="preserve"> </w:t>
      </w:r>
      <w:r>
        <w:rPr>
          <w:b/>
          <w:bCs/>
        </w:rPr>
        <w:t xml:space="preserve">essential fatty acids</w:t>
      </w:r>
      <w:r>
        <w:t xml:space="preserve">—</w:t>
      </w:r>
      <w:r>
        <w:rPr>
          <w:b/>
          <w:bCs/>
        </w:rPr>
        <w:t xml:space="preserve">linoleic acid (omega-6 series)</w:t>
      </w:r>
      <w:r>
        <w:t xml:space="preserve"> </w:t>
      </w:r>
      <w:r>
        <w:t xml:space="preserve">and</w:t>
      </w:r>
      <w:r>
        <w:t xml:space="preserve"> </w:t>
      </w:r>
      <w:r>
        <w:rPr>
          <w:b/>
          <w:bCs/>
        </w:rPr>
        <w:t xml:space="preserve">alpha-linolenic acid (omega-3 series)</w:t>
      </w:r>
      <w:r>
        <w:t xml:space="preserve">—cannot be synthesized by humans and must be obtained from diet. These serve as precursors for eicosanoids, docosanoids, and other bioactive lipid mediators with diverse roles in inflammation, vascular function, and neural development.</w:t>
      </w:r>
      <w:r>
        <w:t xml:space="preserve"> </w:t>
      </w:r>
      <w:r>
        <w:rPr>
          <w:b/>
          <w:bCs/>
        </w:rPr>
        <w:t xml:space="preserve">Long-chain omega-3 fatty acids, EPA and DHA</w:t>
      </w:r>
      <w:r>
        <w:t xml:space="preserve">, can be synthesized from alpha-linolenic acid but with</w:t>
      </w:r>
      <w:r>
        <w:t xml:space="preserve"> </w:t>
      </w:r>
      <w:r>
        <w:rPr>
          <w:b/>
          <w:bCs/>
        </w:rPr>
        <w:t xml:space="preserve">limited efficiency (estimated 5–10% conversion)</w:t>
      </w:r>
      <w:r>
        <w:t xml:space="preserve">, making direct consumption from</w:t>
      </w:r>
      <w:r>
        <w:t xml:space="preserve"> </w:t>
      </w:r>
      <w:r>
        <w:rPr>
          <w:b/>
          <w:bCs/>
        </w:rPr>
        <w:t xml:space="preserve">marine sources (fatty fish, algae)</w:t>
      </w:r>
      <w:r>
        <w:t xml:space="preserve"> </w:t>
      </w:r>
      <w:r>
        <w:t xml:space="preserve">particularly valuable for cardiovascular and cognitive health. The anti-arrhythmic, triglyceride-lowering, and anti-inflammatory properties of EPA and DHA at doses of 1–4 grams daily are well-established, with particular benefit for secondary cardiovascular disease prevention.</w:t>
      </w:r>
    </w:p>
    <w:p>
      <w:pPr>
        <w:pStyle w:val="a0"/>
      </w:pPr>
      <w:r>
        <w:rPr>
          <w:b/>
          <w:bCs/>
        </w:rPr>
        <w:t xml:space="preserve">Cholesterol</w:t>
      </w:r>
      <w:r>
        <w:t xml:space="preserve"> </w:t>
      </w:r>
      <w:r>
        <w:t xml:space="preserve">has undergone substantial reconsideration in nutritional science. While dietary cholesterol modestly raises serum cholesterol in some individuals (hyper-responders), the effect is smaller than previously recognized and highly variable.</w:t>
      </w:r>
      <w:r>
        <w:t xml:space="preserve"> </w:t>
      </w:r>
      <w:r>
        <w:rPr>
          <w:b/>
          <w:bCs/>
        </w:rPr>
        <w:t xml:space="preserve">Current evidence suggests that dietary cholesterol has limited impact on cardiovascular risk compared to the overall fatty acid pattern of the diet</w:t>
      </w:r>
      <w:r>
        <w:t xml:space="preserve">, with saturated fat and trans fat remaining the primary dietary lipid targets for cardiovascular disease prevention. This evolution illustrates the broader transition from nutrient-isolation approaches to food-based and pattern-based recommendations that better capture complex dietary interactions.</w:t>
      </w:r>
    </w:p>
    <w:bookmarkEnd w:id="27"/>
    <w:bookmarkEnd w:id="28"/>
    <w:bookmarkStart w:id="46" w:name="micronutrients-vitamins-and-minerals"/>
    <w:p>
      <w:pPr>
        <w:pStyle w:val="3"/>
      </w:pPr>
      <w:r>
        <w:t xml:space="preserve">1.2 Micronutrients: Vitamins and Minerals</w:t>
      </w:r>
    </w:p>
    <w:bookmarkStart w:id="32" w:name="fat-soluble-vitamins-a-d-e-k"/>
    <w:p>
      <w:pPr>
        <w:pStyle w:val="4"/>
      </w:pPr>
      <w:r>
        <w:t xml:space="preserve">1.2.1 Fat-Soluble Vitamins (A, D, E, K)</w:t>
      </w:r>
    </w:p>
    <w:bookmarkStart w:id="30" w:name="X7ecc83fd7fe5fd67d67fdf34b9142866ca147e4"/>
    <w:p>
      <w:pPr>
        <w:pStyle w:val="5"/>
      </w:pPr>
      <w:r>
        <w:t xml:space="preserve">1.2.1.1 Vitamin D: Bone Health, Immune Function, and Age-Related Requirements</w:t>
      </w:r>
    </w:p>
    <w:p>
      <w:pPr>
        <w:pStyle w:val="FirstParagraph"/>
      </w:pPr>
      <w:r>
        <w:t xml:space="preserve">Vitamin D occupies a unique position among micronutrients due to its</w:t>
      </w:r>
      <w:r>
        <w:t xml:space="preserve"> </w:t>
      </w:r>
      <w:r>
        <w:rPr>
          <w:b/>
          <w:bCs/>
        </w:rPr>
        <w:t xml:space="preserve">dual sourcing from diet and endogenous cutaneous synthesis upon ultraviolet B exposure</w:t>
      </w:r>
      <w:r>
        <w:t xml:space="preserve">. Its canonical function in</w:t>
      </w:r>
      <w:r>
        <w:t xml:space="preserve"> </w:t>
      </w:r>
      <w:r>
        <w:rPr>
          <w:b/>
          <w:bCs/>
        </w:rPr>
        <w:t xml:space="preserve">calcium and phosphorus homeostasis</w:t>
      </w:r>
      <w:r>
        <w:t xml:space="preserve"> </w:t>
      </w:r>
      <w:r>
        <w:t xml:space="preserve">underlies critical importance for bone mineralization throughout the lifespan—from preventing rickets in childhood to reducing osteomalacia and fracture risk in older adults. Beyond skeletal health, vitamin D receptors are expressed in virtually all immune cells, and adequate status supports innate antimicrobial responses while modulating adaptive immunity to prevent excessive inflammation.</w:t>
      </w:r>
    </w:p>
    <w:p>
      <w:pPr>
        <w:pStyle w:val="a0"/>
      </w:pPr>
      <w:r>
        <w:rPr>
          <w:b/>
          <w:bCs/>
        </w:rPr>
        <w:t xml:space="preserve">Age-related escalation of vitamin D requirements reflects diminished physiological efficiency</w:t>
      </w:r>
      <w:r>
        <w:t xml:space="preserve">: the</w:t>
      </w:r>
      <w:r>
        <w:t xml:space="preserve"> </w:t>
      </w:r>
      <w:r>
        <w:rPr>
          <w:b/>
          <w:bCs/>
        </w:rPr>
        <w:t xml:space="preserve">RDA increases from 200 IU (5 micrograms) daily for adults 19–50 years, to 400 IU (10 micrograms) for ages 51–70, and 600 IU (15 micrograms) for those over 70</w:t>
      </w:r>
      <w:r>
        <w:t xml:space="preserve"> </w:t>
      </w:r>
      <w:hyperlink r:id="rId29">
        <w:r>
          <w:rPr>
            <w:rStyle w:val="af"/>
          </w:rPr>
          <w:t xml:space="preserve">(OpenLearn)</w:t>
        </w:r>
      </w:hyperlink>
      <w:r>
        <w:t xml:space="preserve"> </w:t>
      </w:r>
      <w:r>
        <w:t xml:space="preserve">. These increments address the</w:t>
      </w:r>
      <w:r>
        <w:t xml:space="preserve"> </w:t>
      </w:r>
      <w:r>
        <w:rPr>
          <w:b/>
          <w:bCs/>
        </w:rPr>
        <w:t xml:space="preserve">approximately 50% reduction in skin vitamin D synthesis efficiency between ages 20 and 70</w:t>
      </w:r>
      <w:r>
        <w:t xml:space="preserve">, compounded by reduced outdoor activity, institutionalization, and darker skin pigmentation reducing synthesis efficiency in older populations. The elevated requirement for adults over 70 specifically targets prevention of age-related bone loss and fracture risk, as vitamin D insufficiency contributes to secondary hyperparathyroidism, accelerated bone turnover, and increased osteoporotic fracture incidence.</w:t>
      </w:r>
    </w:p>
    <w:p>
      <w:pPr>
        <w:pStyle w:val="a0"/>
      </w:pPr>
      <w:r>
        <w:t xml:space="preserve">Despite these recommendations,</w:t>
      </w:r>
      <w:r>
        <w:t xml:space="preserve"> </w:t>
      </w:r>
      <w:r>
        <w:rPr>
          <w:b/>
          <w:bCs/>
        </w:rPr>
        <w:t xml:space="preserve">vitamin D insufficiency (serum 25-hydroxyvitamin D &lt;30 ng/mL) affects approximately 40–50% of community-dwelling older adults</w:t>
      </w:r>
      <w:r>
        <w:t xml:space="preserve"> </w:t>
      </w:r>
      <w:r>
        <w:t xml:space="preserve">in temperate climates, with even higher prevalence in institutionalized populations. The optimal serum concentration remains debated, with the Institute of Medicine defining sufficiency as ≥20 ng/mL (50 nmol/L) based on bone health outcomes, while many experts advocate for ≥30 ng/mL (75 nmol/L) to capture potential extraskeletal benefits. Recent large randomized trials (VITAL, ViDA) have</w:t>
      </w:r>
      <w:r>
        <w:t xml:space="preserve"> </w:t>
      </w:r>
      <w:r>
        <w:rPr>
          <w:b/>
          <w:bCs/>
        </w:rPr>
        <w:t xml:space="preserve">failed to confirm cardiovascular or cancer protection from supplementation</w:t>
      </w:r>
      <w:r>
        <w:t xml:space="preserve">, though suggesting possible benefit for cancer mortality specifically, tempering earlier enthusiasm for universal high-dose supplementation.</w:t>
      </w:r>
    </w:p>
    <w:bookmarkEnd w:id="30"/>
    <w:bookmarkStart w:id="31" w:name="Xade507f80c4ef7ac5c18d202d992c8b73bb06da"/>
    <w:p>
      <w:pPr>
        <w:pStyle w:val="5"/>
      </w:pPr>
      <w:r>
        <w:t xml:space="preserve">1.2.1.2 Vitamin A: Vision, Reproduction, and Pregnancy Considerations</w:t>
      </w:r>
    </w:p>
    <w:p>
      <w:pPr>
        <w:pStyle w:val="FirstParagraph"/>
      </w:pPr>
      <w:r>
        <w:t xml:space="preserve">Vitamin A encompasses</w:t>
      </w:r>
      <w:r>
        <w:t xml:space="preserve"> </w:t>
      </w:r>
      <w:r>
        <w:rPr>
          <w:b/>
          <w:bCs/>
        </w:rPr>
        <w:t xml:space="preserve">preformed retinoids (retinol, retinal, retinoic acid)</w:t>
      </w:r>
      <w:r>
        <w:t xml:space="preserve"> </w:t>
      </w:r>
      <w:r>
        <w:t xml:space="preserve">from animal sources and</w:t>
      </w:r>
      <w:r>
        <w:t xml:space="preserve"> </w:t>
      </w:r>
      <w:r>
        <w:rPr>
          <w:b/>
          <w:bCs/>
        </w:rPr>
        <w:t xml:space="preserve">provitamin A carotenoids (beta-carotene, alpha-carotene, beta-cryptoxanthin)</w:t>
      </w:r>
      <w:r>
        <w:t xml:space="preserve"> </w:t>
      </w:r>
      <w:r>
        <w:t xml:space="preserve">from plant sources. Its essential roles span</w:t>
      </w:r>
      <w:r>
        <w:t xml:space="preserve"> </w:t>
      </w:r>
      <w:r>
        <w:rPr>
          <w:b/>
          <w:bCs/>
        </w:rPr>
        <w:t xml:space="preserve">vision</w:t>
      </w:r>
      <w:r>
        <w:t xml:space="preserve"> </w:t>
      </w:r>
      <w:r>
        <w:t xml:space="preserve">(rhodopsin synthesis in retinal photoreceptors), cellular differentiation, immune function, and reproduction. Vitamin A deficiency remains the</w:t>
      </w:r>
      <w:r>
        <w:t xml:space="preserve"> </w:t>
      </w:r>
      <w:r>
        <w:rPr>
          <w:b/>
          <w:bCs/>
        </w:rPr>
        <w:t xml:space="preserve">leading cause of preventable childhood blindness globally</w:t>
      </w:r>
      <w:r>
        <w:t xml:space="preserve"> </w:t>
      </w:r>
      <w:r>
        <w:t xml:space="preserve">and increases infection morbidity and mortality through impaired mucosal immunity.</w:t>
      </w:r>
    </w:p>
    <w:p>
      <w:pPr>
        <w:pStyle w:val="a0"/>
      </w:pPr>
      <w:r>
        <w:rPr>
          <w:b/>
          <w:bCs/>
        </w:rPr>
        <w:t xml:space="preserve">Pregnancy imposes specific vitamin A considerations due to teratogenic risk from excessive preformed vitamin A while maintaining adequacy for fetal development</w:t>
      </w:r>
      <w:r>
        <w:t xml:space="preserve">. The RDA for pregnancy of</w:t>
      </w:r>
      <w:r>
        <w:t xml:space="preserve"> </w:t>
      </w:r>
      <w:r>
        <w:rPr>
          <w:b/>
          <w:bCs/>
        </w:rPr>
        <w:t xml:space="preserve">770 micrograms RAE (retinol activity equivalents) daily</w:t>
      </w:r>
      <w:r>
        <w:t xml:space="preserve"> </w:t>
      </w:r>
      <w:r>
        <w:t xml:space="preserve">represents a modest increase from 700 micrograms for non-pregnant women. However,</w:t>
      </w:r>
      <w:r>
        <w:t xml:space="preserve"> </w:t>
      </w:r>
      <w:r>
        <w:rPr>
          <w:b/>
          <w:bCs/>
        </w:rPr>
        <w:t xml:space="preserve">intake above 3,000 micrograms RAE/day of preformed vitamin A poses teratogenic risk</w:t>
      </w:r>
      <w:r>
        <w:t xml:space="preserve">, particularly for cranial-neural-crest-derived structures. WHO recommends that pregnant women consume vitamin A-rich foods including</w:t>
      </w:r>
      <w:r>
        <w:t xml:space="preserve"> </w:t>
      </w:r>
      <w:r>
        <w:rPr>
          <w:b/>
          <w:bCs/>
        </w:rPr>
        <w:t xml:space="preserve">papaya, mango, tomato, carrot, green leafy vegetables, and animal foods such as fish and liver</w:t>
      </w:r>
      <w:r>
        <w:t xml:space="preserve"> </w:t>
      </w:r>
      <w:hyperlink r:id="rId29">
        <w:r>
          <w:rPr>
            <w:rStyle w:val="af"/>
          </w:rPr>
          <w:t xml:space="preserve">(OpenLearn)</w:t>
        </w:r>
      </w:hyperlink>
      <w:r>
        <w:t xml:space="preserve"> </w:t>
      </w:r>
      <w:r>
        <w:t xml:space="preserve">, with explicit caution that high-dose vitamin A supplements are contraindicated in early pregnancy. This balance—ensuring adequacy while preventing excess—exemplifies the precision required in prenatal nutrition counseling.</w:t>
      </w:r>
    </w:p>
    <w:bookmarkEnd w:id="31"/>
    <w:bookmarkEnd w:id="32"/>
    <w:bookmarkStart w:id="37" w:name="water-soluble-vitamins-b-complex-c"/>
    <w:p>
      <w:pPr>
        <w:pStyle w:val="4"/>
      </w:pPr>
      <w:r>
        <w:t xml:space="preserve">1.2.2 Water-Soluble Vitamins (B-Complex, C)</w:t>
      </w:r>
    </w:p>
    <w:bookmarkStart w:id="34" w:name="Xb80eabc3df968e40dc64e85b294adc6a306fa82"/>
    <w:p>
      <w:pPr>
        <w:pStyle w:val="5"/>
      </w:pPr>
      <w:r>
        <w:t xml:space="preserve">1.2.2.1 Vitamin B12: Critical Importance in Plant-Based Diets</w:t>
      </w:r>
    </w:p>
    <w:p>
      <w:pPr>
        <w:pStyle w:val="FirstParagraph"/>
      </w:pPr>
      <w:r>
        <w:t xml:space="preserve">Vitamin B12 (cobalamin) presents the</w:t>
      </w:r>
      <w:r>
        <w:t xml:space="preserve"> </w:t>
      </w:r>
      <w:r>
        <w:rPr>
          <w:b/>
          <w:bCs/>
        </w:rPr>
        <w:t xml:space="preserve">most significant nutritional challenge for adherents of vegetarian and particularly vegan dietary patterns</w:t>
      </w:r>
      <w:r>
        <w:t xml:space="preserve">, as this vitamin is synthesized exclusively by bacteria and archaea and concentrated in animal tissues through food chain biomagnification. The vitamin serves as</w:t>
      </w:r>
      <w:r>
        <w:t xml:space="preserve"> </w:t>
      </w:r>
      <w:r>
        <w:rPr>
          <w:b/>
          <w:bCs/>
        </w:rPr>
        <w:t xml:space="preserve">cofactor for methionine synthase</w:t>
      </w:r>
      <w:r>
        <w:t xml:space="preserve"> </w:t>
      </w:r>
      <w:r>
        <w:t xml:space="preserve">(methylation reactions, homocysteine metabolism) and</w:t>
      </w:r>
      <w:r>
        <w:t xml:space="preserve"> </w:t>
      </w:r>
      <w:r>
        <w:rPr>
          <w:b/>
          <w:bCs/>
        </w:rPr>
        <w:t xml:space="preserve">methylmalonyl-CoA mutase</w:t>
      </w:r>
      <w:r>
        <w:t xml:space="preserve"> </w:t>
      </w:r>
      <w:r>
        <w:t xml:space="preserve">(odd-chain fatty acid metabolism), with deficiency manifesting as</w:t>
      </w:r>
      <w:r>
        <w:t xml:space="preserve"> </w:t>
      </w:r>
      <w:r>
        <w:rPr>
          <w:b/>
          <w:bCs/>
        </w:rPr>
        <w:t xml:space="preserve">megaloblastic anemia, neurological degeneration</w:t>
      </w:r>
      <w:r>
        <w:t xml:space="preserve"> </w:t>
      </w:r>
      <w:r>
        <w:t xml:space="preserve">(posterior column demyelination, peripheral neuropathy, cognitive impairment), and</w:t>
      </w:r>
      <w:r>
        <w:t xml:space="preserve"> </w:t>
      </w:r>
      <w:r>
        <w:rPr>
          <w:b/>
          <w:bCs/>
        </w:rPr>
        <w:t xml:space="preserve">elevated homocysteine conferring cardiovascular risk</w:t>
      </w:r>
      <w:r>
        <w:t xml:space="preserve">.</w:t>
      </w:r>
    </w:p>
    <w:p>
      <w:pPr>
        <w:pStyle w:val="a0"/>
      </w:pPr>
      <w:r>
        <w:t xml:space="preserve">The risk of vitamin B12 deficiency in vegetarian populations is substantial and well-documented.</w:t>
      </w:r>
      <w:r>
        <w:t xml:space="preserve"> </w:t>
      </w:r>
      <w:r>
        <w:rPr>
          <w:b/>
          <w:bCs/>
        </w:rPr>
        <w:t xml:space="preserve">Prevalence estimates reach 25–85% in vegetarian children and 21–41% in vegetarian adolescents</w:t>
      </w:r>
      <w:r>
        <w:t xml:space="preserve">, with highest rates in vegans and those adhering to restrictive diets from birth</w:t>
      </w:r>
      <w:r>
        <w:t xml:space="preserve"> </w:t>
      </w:r>
      <w:hyperlink r:id="rId33">
        <w:r>
          <w:rPr>
            <w:rStyle w:val="af"/>
          </w:rPr>
          <w:t xml:space="preserve">(nih.gov)</w:t>
        </w:r>
      </w:hyperlink>
      <w:r>
        <w:t xml:space="preserve"> </w:t>
      </w:r>
      <w:r>
        <w:t xml:space="preserve">.</w:t>
      </w:r>
      <w:r>
        <w:t xml:space="preserve"> </w:t>
      </w:r>
      <w:r>
        <w:rPr>
          <w:b/>
          <w:bCs/>
        </w:rPr>
        <w:t xml:space="preserve">Newborns from vegan or macrobiotic mothers are particularly vulnerable</w:t>
      </w:r>
      <w:r>
        <w:t xml:space="preserve"> </w:t>
      </w:r>
      <w:r>
        <w:t xml:space="preserve">due to dependence on maternal stores and breast milk content, with deficiency potentially causing</w:t>
      </w:r>
      <w:r>
        <w:t xml:space="preserve"> </w:t>
      </w:r>
      <w:r>
        <w:rPr>
          <w:b/>
          <w:bCs/>
        </w:rPr>
        <w:t xml:space="preserve">irreversible neurological damage in infancy</w:t>
      </w:r>
      <w:r>
        <w:t xml:space="preserve">. Reported deficiency prevalence reaches</w:t>
      </w:r>
      <w:r>
        <w:t xml:space="preserve"> </w:t>
      </w:r>
      <w:r>
        <w:rPr>
          <w:b/>
          <w:bCs/>
        </w:rPr>
        <w:t xml:space="preserve">62% in pregnant vegetarians</w:t>
      </w:r>
      <w:r>
        <w:t xml:space="preserve">, highlighting critical importance of preconception and prenatal status assessment and supplementation</w:t>
      </w:r>
      <w:r>
        <w:t xml:space="preserve"> </w:t>
      </w:r>
      <w:hyperlink r:id="rId33">
        <w:r>
          <w:rPr>
            <w:rStyle w:val="af"/>
          </w:rPr>
          <w:t xml:space="preserve">(nih.gov)</w:t>
        </w:r>
      </w:hyperlink>
      <w:r>
        <w:t xml:space="preserve"> </w:t>
      </w:r>
      <w:r>
        <w:t xml:space="preserve">.</w:t>
      </w:r>
    </w:p>
    <w:p>
      <w:pPr>
        <w:pStyle w:val="a0"/>
      </w:pPr>
      <w:r>
        <w:t xml:space="preserve">Clinical manifestations in children include</w:t>
      </w:r>
      <w:r>
        <w:t xml:space="preserve"> </w:t>
      </w:r>
      <w:r>
        <w:rPr>
          <w:b/>
          <w:bCs/>
        </w:rPr>
        <w:t xml:space="preserve">developmental delay or regression, megaloblastic anemia, and in severe cases cerebral atrophy</w:t>
      </w:r>
      <w:r>
        <w:t xml:space="preserve"> </w:t>
      </w:r>
      <w:r>
        <w:t xml:space="preserve">documented on neuroimaging. The Indian study of young children aged 6–27 months on vegetarian diets found</w:t>
      </w:r>
      <w:r>
        <w:t xml:space="preserve"> </w:t>
      </w:r>
      <w:r>
        <w:rPr>
          <w:b/>
          <w:bCs/>
        </w:rPr>
        <w:t xml:space="preserve">anemia in 83%, developmental delay or regression in all affected children, and cerebral atrophy in those undergoing neuroimaging</w:t>
      </w:r>
      <w:r>
        <w:t xml:space="preserve"> </w:t>
      </w:r>
      <w:hyperlink r:id="rId33">
        <w:r>
          <w:rPr>
            <w:rStyle w:val="af"/>
          </w:rPr>
          <w:t xml:space="preserve">(nih.gov)</w:t>
        </w:r>
      </w:hyperlink>
      <w:r>
        <w:t xml:space="preserve"> </w:t>
      </w:r>
      <w:r>
        <w:t xml:space="preserve">. Diagnosis is complicated by</w:t>
      </w:r>
      <w:r>
        <w:t xml:space="preserve"> </w:t>
      </w:r>
      <w:r>
        <w:rPr>
          <w:b/>
          <w:bCs/>
        </w:rPr>
        <w:t xml:space="preserve">high folate intake typical of plant-based diets, which can mask hematological abnormalities while neurological damage progresses insidiously</w:t>
      </w:r>
      <w:r>
        <w:t xml:space="preserve">—a phenomenon termed</w:t>
      </w:r>
      <w:r>
        <w:t xml:space="preserve"> </w:t>
      </w:r>
      <w:r>
        <w:t xml:space="preserve">“</w:t>
      </w:r>
      <w:r>
        <w:t xml:space="preserve">folate masking.</w:t>
      </w:r>
      <w:r>
        <w:t xml:space="preserve">”</w:t>
      </w:r>
      <w:r>
        <w:t xml:space="preserve"> </w:t>
      </w:r>
      <w:r>
        <w:t xml:space="preserve">Serum cobalamin measurement, supplemented by methylmalonic acid or homocysteine when clinical suspicion is high, remains essential for accurate assessment.</w:t>
      </w:r>
    </w:p>
    <w:p>
      <w:pPr>
        <w:pStyle w:val="a0"/>
      </w:pPr>
      <w:r>
        <w:t xml:space="preserve">For adults, the</w:t>
      </w:r>
      <w:r>
        <w:t xml:space="preserve"> </w:t>
      </w:r>
      <w:r>
        <w:rPr>
          <w:b/>
          <w:bCs/>
        </w:rPr>
        <w:t xml:space="preserve">RDA is 2.4 micrograms daily</w:t>
      </w:r>
      <w:r>
        <w:t xml:space="preserve">, with increments to 2.6 micrograms in pregnancy and 2.8 micrograms in lactation. Absorption occurs through complex mechanisms involving gastric intrinsic factor, with efficiency declining in</w:t>
      </w:r>
      <w:r>
        <w:t xml:space="preserve"> </w:t>
      </w:r>
      <w:r>
        <w:rPr>
          <w:b/>
          <w:bCs/>
        </w:rPr>
        <w:t xml:space="preserve">atrophic gastritis (affecting 10–30% of elderly), after gastric surgery, and with proton pump inhibitor use</w:t>
      </w:r>
      <w:r>
        <w:t xml:space="preserve">—factors relevant for older adults regardless of dietary pattern. Effective prevention for vegetarians and vegans requires either</w:t>
      </w:r>
      <w:r>
        <w:t xml:space="preserve"> </w:t>
      </w:r>
      <w:r>
        <w:rPr>
          <w:b/>
          <w:bCs/>
        </w:rPr>
        <w:t xml:space="preserve">consistent consumption of B12-fortified foods</w:t>
      </w:r>
      <w:r>
        <w:t xml:space="preserve"> </w:t>
      </w:r>
      <w:r>
        <w:t xml:space="preserve">(certain plant milks, breakfast cereals, nutritional yeast) or</w:t>
      </w:r>
      <w:r>
        <w:t xml:space="preserve"> </w:t>
      </w:r>
      <w:r>
        <w:rPr>
          <w:b/>
          <w:bCs/>
        </w:rPr>
        <w:t xml:space="preserve">supplemental B12 in cyanocobalamin, methylcobalamin, or hydroxocobalamin forms</w:t>
      </w:r>
      <w:r>
        <w:t xml:space="preserve">, with doses of 250–500 micrograms daily or 2,000 micrograms weekly generally sufficient to maintain adequate status.</w:t>
      </w:r>
    </w:p>
    <w:bookmarkEnd w:id="34"/>
    <w:bookmarkStart w:id="35" w:name="X18309f0ef4483a91df46ff35d2419e88f9528ee"/>
    <w:p>
      <w:pPr>
        <w:pStyle w:val="5"/>
      </w:pPr>
      <w:r>
        <w:t xml:space="preserve">1.2.2.2 Folate: Neural Tube Defect Prevention in Pregnancy</w:t>
      </w:r>
    </w:p>
    <w:p>
      <w:pPr>
        <w:pStyle w:val="FirstParagraph"/>
      </w:pPr>
      <w:r>
        <w:t xml:space="preserve">Folate (vitamin B9) serves as</w:t>
      </w:r>
      <w:r>
        <w:t xml:space="preserve"> </w:t>
      </w:r>
      <w:r>
        <w:rPr>
          <w:b/>
          <w:bCs/>
        </w:rPr>
        <w:t xml:space="preserve">essential cofactor in one-carbon metabolism</w:t>
      </w:r>
      <w:r>
        <w:t xml:space="preserve">, critical for DNA synthesis, repair, and methylation. The</w:t>
      </w:r>
      <w:r>
        <w:t xml:space="preserve"> </w:t>
      </w:r>
      <w:r>
        <w:rPr>
          <w:b/>
          <w:bCs/>
        </w:rPr>
        <w:t xml:space="preserve">periconceptional and early gestational period demands heightened folate status</w:t>
      </w:r>
      <w:r>
        <w:t xml:space="preserve"> </w:t>
      </w:r>
      <w:r>
        <w:t xml:space="preserve">due to rapid cell division and neural tube formation occurring in the</w:t>
      </w:r>
      <w:r>
        <w:t xml:space="preserve"> </w:t>
      </w:r>
      <w:r>
        <w:rPr>
          <w:b/>
          <w:bCs/>
        </w:rPr>
        <w:t xml:space="preserve">first 28 days post-conception—often before pregnancy recognition</w:t>
      </w:r>
      <w:r>
        <w:t xml:space="preserve">.</w:t>
      </w:r>
      <w:r>
        <w:t xml:space="preserve"> </w:t>
      </w:r>
      <w:r>
        <w:rPr>
          <w:b/>
          <w:bCs/>
        </w:rPr>
        <w:t xml:space="preserve">Periconceptional folic acid supplementation of 400 micrograms daily reduces neural tube defect (anencephaly, spina bifida) risk by 50–70%</w:t>
      </w:r>
      <w:r>
        <w:t xml:space="preserve">, establishing this as one of the most successful preventive nutrition interventions. Food fortification programs (mandatory in over 80 countries) have further reduced population-level neural tube defect incidence.</w:t>
      </w:r>
    </w:p>
    <w:p>
      <w:pPr>
        <w:pStyle w:val="a0"/>
      </w:pPr>
      <w:r>
        <w:t xml:space="preserve">The</w:t>
      </w:r>
      <w:r>
        <w:t xml:space="preserve"> </w:t>
      </w:r>
      <w:r>
        <w:rPr>
          <w:b/>
          <w:bCs/>
        </w:rPr>
        <w:t xml:space="preserve">RDA for folate is 400 micrograms DFE (dietary folate equivalents)</w:t>
      </w:r>
      <w:r>
        <w:t xml:space="preserve"> </w:t>
      </w:r>
      <w:r>
        <w:t xml:space="preserve">for adults, increasing to</w:t>
      </w:r>
      <w:r>
        <w:t xml:space="preserve"> </w:t>
      </w:r>
      <w:r>
        <w:rPr>
          <w:b/>
          <w:bCs/>
        </w:rPr>
        <w:t xml:space="preserve">600 micrograms DFE in pregnancy and 500 micrograms DFE in lactation</w:t>
      </w:r>
      <w:r>
        <w:t xml:space="preserve">. Natural food folates in leafy green vegetables, legumes, and citrus fruits have</w:t>
      </w:r>
      <w:r>
        <w:t xml:space="preserve"> </w:t>
      </w:r>
      <w:r>
        <w:rPr>
          <w:b/>
          <w:bCs/>
        </w:rPr>
        <w:t xml:space="preserve">approximately 50% bioavailability compared to synthetic folic acid</w:t>
      </w:r>
      <w:r>
        <w:t xml:space="preserve">, necessitating higher food volumes to achieve equivalent intake. The</w:t>
      </w:r>
      <w:r>
        <w:t xml:space="preserve"> </w:t>
      </w:r>
      <w:r>
        <w:rPr>
          <w:b/>
          <w:bCs/>
        </w:rPr>
        <w:t xml:space="preserve">upper limit of 1,000 micrograms synthetic folic acid daily</w:t>
      </w:r>
      <w:r>
        <w:t xml:space="preserve"> </w:t>
      </w:r>
      <w:r>
        <w:t xml:space="preserve">addresses concerns that excessive intake may mask B12 deficiency and potentially promote neoplastic progression in pre-existing lesions. The critical window for intervention closes by approximately 28 days post-conception, mandating that</w:t>
      </w:r>
      <w:r>
        <w:t xml:space="preserve"> </w:t>
      </w:r>
      <w:r>
        <w:rPr>
          <w:b/>
          <w:bCs/>
        </w:rPr>
        <w:t xml:space="preserve">all women of reproductive potential consume 400 micrograms of synthetic folic acid daily</w:t>
      </w:r>
      <w:r>
        <w:t xml:space="preserve"> </w:t>
      </w:r>
      <w:r>
        <w:t xml:space="preserve">from fortified foods or supplements, with higher doses (4–5 mg) recommended for women with previous affected pregnancies or MTHFR genetic polymorphisms affecting folate metabolism.</w:t>
      </w:r>
    </w:p>
    <w:bookmarkEnd w:id="35"/>
    <w:bookmarkStart w:id="36" w:name="X2302d47482597c17b0075c51194ad6333c3a525"/>
    <w:p>
      <w:pPr>
        <w:pStyle w:val="5"/>
      </w:pPr>
      <w:r>
        <w:t xml:space="preserve">1.2.2.3 Vitamin B6: Neurotransmitter Synthesis and Selenium Metabolism</w:t>
      </w:r>
    </w:p>
    <w:p>
      <w:pPr>
        <w:pStyle w:val="FirstParagraph"/>
      </w:pPr>
      <w:r>
        <w:t xml:space="preserve">Vitamin B6 (pyridoxine, pyridoxal, pyridoxamine and their phosphorylated forms) functions as</w:t>
      </w:r>
      <w:r>
        <w:t xml:space="preserve"> </w:t>
      </w:r>
      <w:r>
        <w:rPr>
          <w:b/>
          <w:bCs/>
        </w:rPr>
        <w:t xml:space="preserve">coenzyme in over 100 enzymatic reactions</w:t>
      </w:r>
      <w:r>
        <w:t xml:space="preserve">, predominantly in amino acid metabolism,</w:t>
      </w:r>
      <w:r>
        <w:t xml:space="preserve"> </w:t>
      </w:r>
      <w:r>
        <w:rPr>
          <w:b/>
          <w:bCs/>
        </w:rPr>
        <w:t xml:space="preserve">neurotransmitter synthesis</w:t>
      </w:r>
      <w:r>
        <w:t xml:space="preserve"> </w:t>
      </w:r>
      <w:r>
        <w:t xml:space="preserve">(serotonin, dopamine, gamma-aminobutyric acid, norepinephrine), heme synthesis, and glycogen metabolism. The</w:t>
      </w:r>
      <w:r>
        <w:t xml:space="preserve"> </w:t>
      </w:r>
      <w:r>
        <w:rPr>
          <w:b/>
          <w:bCs/>
        </w:rPr>
        <w:t xml:space="preserve">RDA for adults aged 19–50 is 1.3 milligrams daily</w:t>
      </w:r>
      <w:r>
        <w:t xml:space="preserve">, with variations by sex and life stage (1.5 mg for women &gt;50, 1.7 mg for men &gt;50).</w:t>
      </w:r>
    </w:p>
    <w:p>
      <w:pPr>
        <w:pStyle w:val="a0"/>
      </w:pPr>
      <w:r>
        <w:t xml:space="preserve">A particularly relevant function for elderly populations involves</w:t>
      </w:r>
      <w:r>
        <w:t xml:space="preserve"> </w:t>
      </w:r>
      <w:r>
        <w:rPr>
          <w:b/>
          <w:bCs/>
        </w:rPr>
        <w:t xml:space="preserve">vitamin B6’s role in selenium metabolism</w:t>
      </w:r>
      <w:r>
        <w:t xml:space="preserve">. Some elderly individuals demonstrate</w:t>
      </w:r>
      <w:r>
        <w:t xml:space="preserve"> </w:t>
      </w:r>
      <w:r>
        <w:rPr>
          <w:b/>
          <w:bCs/>
        </w:rPr>
        <w:t xml:space="preserve">selenium deficiency</w:t>
      </w:r>
      <w:r>
        <w:t xml:space="preserve">, a mineral critical for immune function through selenoprotein synthesis (glutathione peroxidases, thioredoxin reductases, iodothyronine deiodinases). Impaired immune function from selenium inadequacy increases susceptibility to infections and malignancies.</w:t>
      </w:r>
      <w:r>
        <w:t xml:space="preserve"> </w:t>
      </w:r>
      <w:r>
        <w:rPr>
          <w:b/>
          <w:bCs/>
        </w:rPr>
        <w:t xml:space="preserve">Vitamin B6 helps boost selenium levels, supporting higher intake recommendations for adults aged 51–70 years</w:t>
      </w:r>
      <w:r>
        <w:t xml:space="preserve"> </w:t>
      </w:r>
      <w:hyperlink r:id="rId29">
        <w:r>
          <w:rPr>
            <w:rStyle w:val="af"/>
          </w:rPr>
          <w:t xml:space="preserve">(OpenLearn)</w:t>
        </w:r>
      </w:hyperlink>
      <w:r>
        <w:t xml:space="preserve"> </w:t>
      </w:r>
      <w:r>
        <w:t xml:space="preserve">. This interaction exemplifies the</w:t>
      </w:r>
      <w:r>
        <w:t xml:space="preserve"> </w:t>
      </w:r>
      <w:r>
        <w:rPr>
          <w:b/>
          <w:bCs/>
        </w:rPr>
        <w:t xml:space="preserve">interconnected nature of micronutrient metabolism</w:t>
      </w:r>
      <w:r>
        <w:t xml:space="preserve"> </w:t>
      </w:r>
      <w:r>
        <w:t xml:space="preserve">and the importance of assessing nutritional status holistically rather than in isolation. The broader implication is that single-nutrient interventions may fail if cofactor relationships are not simultaneously addressed—a principle with relevance for both clinical practice and public health fortification programs.</w:t>
      </w:r>
    </w:p>
    <w:bookmarkEnd w:id="36"/>
    <w:bookmarkEnd w:id="37"/>
    <w:bookmarkStart w:id="41" w:name="Xdc3181820d149efe8db8076301c2db499e8ba3f"/>
    <w:p>
      <w:pPr>
        <w:pStyle w:val="4"/>
      </w:pPr>
      <w:r>
        <w:t xml:space="preserve">1.2.3 Major Minerals (Calcium, Phosphorus, Magnesium, Sodium, Potassium)</w:t>
      </w:r>
    </w:p>
    <w:bookmarkStart w:id="38" w:name="X510e8781d48a136207bfcf472c6a23d9042ae6a"/>
    <w:p>
      <w:pPr>
        <w:pStyle w:val="5"/>
      </w:pPr>
      <w:r>
        <w:t xml:space="preserve">1.2.3.1 Calcium and Phosphorus: Bone Mineralization Across Life Stages</w:t>
      </w:r>
    </w:p>
    <w:p>
      <w:pPr>
        <w:pStyle w:val="FirstParagraph"/>
      </w:pPr>
      <w:r>
        <w:t xml:space="preserve">Calcium and phosphorus constitute the</w:t>
      </w:r>
      <w:r>
        <w:t xml:space="preserve"> </w:t>
      </w:r>
      <w:r>
        <w:rPr>
          <w:b/>
          <w:bCs/>
        </w:rPr>
        <w:t xml:space="preserve">primary mineral components of hydroxyapatite</w:t>
      </w:r>
      <w:r>
        <w:t xml:space="preserve">, the crystalline structure providing bone strength and rigidity. Their metabolism is tightly coupled through</w:t>
      </w:r>
      <w:r>
        <w:t xml:space="preserve"> </w:t>
      </w:r>
      <w:r>
        <w:rPr>
          <w:b/>
          <w:bCs/>
        </w:rPr>
        <w:t xml:space="preserve">parathyroid hormone, vitamin D, and calcitonin regulation</w:t>
      </w:r>
      <w:r>
        <w:t xml:space="preserve"> </w:t>
      </w:r>
      <w:r>
        <w:t xml:space="preserve">of intestinal absorption, renal reabsorption, and bone remodeling. The</w:t>
      </w:r>
      <w:r>
        <w:t xml:space="preserve"> </w:t>
      </w:r>
      <w:r>
        <w:rPr>
          <w:b/>
          <w:bCs/>
        </w:rPr>
        <w:t xml:space="preserve">RDA for calcium peaks during adolescence at 1,300 mg daily for ages 9–18</w:t>
      </w:r>
      <w:r>
        <w:t xml:space="preserve"> </w:t>
      </w:r>
      <w:r>
        <w:t xml:space="preserve">to support the pubertal growth spurt and peak bone mass accretion, with lifelong implications for osteoporosis risk. Adult requirements stabilize at</w:t>
      </w:r>
      <w:r>
        <w:t xml:space="preserve"> </w:t>
      </w:r>
      <w:r>
        <w:rPr>
          <w:b/>
          <w:bCs/>
        </w:rPr>
        <w:t xml:space="preserve">1,000 mg daily through age 50</w:t>
      </w:r>
      <w:r>
        <w:t xml:space="preserve">, increasing to</w:t>
      </w:r>
      <w:r>
        <w:t xml:space="preserve"> </w:t>
      </w:r>
      <w:r>
        <w:rPr>
          <w:b/>
          <w:bCs/>
        </w:rPr>
        <w:t xml:space="preserve">1,200 mg for women &gt;50 and men &gt;70</w:t>
      </w:r>
      <w:r>
        <w:t xml:space="preserve"> </w:t>
      </w:r>
      <w:r>
        <w:t xml:space="preserve">to offset age-related bone loss.</w:t>
      </w:r>
    </w:p>
    <w:p>
      <w:pPr>
        <w:pStyle w:val="a0"/>
      </w:pPr>
      <w:r>
        <w:t xml:space="preserve">Evidence regarding calcium intake and bone outcomes reveals important nuances. While calcium supplementation increases bone mineral density modestly,</w:t>
      </w:r>
      <w:r>
        <w:t xml:space="preserve"> </w:t>
      </w:r>
      <w:r>
        <w:rPr>
          <w:b/>
          <w:bCs/>
        </w:rPr>
        <w:t xml:space="preserve">fracture reduction has proven inconsistent in trials</w:t>
      </w:r>
      <w:r>
        <w:t xml:space="preserve">, with some meta-analyses suggesting cardiovascular risk from supplemental calcium.</w:t>
      </w:r>
      <w:r>
        <w:t xml:space="preserve"> </w:t>
      </w:r>
      <w:r>
        <w:rPr>
          <w:b/>
          <w:bCs/>
        </w:rPr>
        <w:t xml:space="preserve">Critically, evidence is clear that bone calcium accretion increases as a result of exercise rather than from increases in calcium intake alone</w:t>
      </w:r>
      <w:r>
        <w:t xml:space="preserve"> </w:t>
      </w:r>
      <w:hyperlink r:id="rId29">
        <w:r>
          <w:rPr>
            <w:rStyle w:val="af"/>
          </w:rPr>
          <w:t xml:space="preserve">(OpenLearn)</w:t>
        </w:r>
      </w:hyperlink>
      <w:r>
        <w:t xml:space="preserve"> </w:t>
      </w:r>
      <w:r>
        <w:t xml:space="preserve">. This finding emphasizes that</w:t>
      </w:r>
      <w:r>
        <w:t xml:space="preserve"> </w:t>
      </w:r>
      <w:r>
        <w:rPr>
          <w:b/>
          <w:bCs/>
        </w:rPr>
        <w:t xml:space="preserve">physical activity provides the osteogenic mechanical loading signals that direct mineral deposition into bone</w:t>
      </w:r>
      <w:r>
        <w:t xml:space="preserve">, while calcium serves as substrate that cannot be utilized effectively without this stimulus. Weight-bearing activities (running, jumping, resistance training) and high-impact sports during adolescence establish the bone density foundation that resists osteoporosis decades later. The practical implication is that</w:t>
      </w:r>
      <w:r>
        <w:t xml:space="preserve"> </w:t>
      </w:r>
      <w:r>
        <w:rPr>
          <w:b/>
          <w:bCs/>
        </w:rPr>
        <w:t xml:space="preserve">calcium recommendations must be paired with physical activity promotion</w:t>
      </w:r>
      <w:r>
        <w:t xml:space="preserve"> </w:t>
      </w:r>
      <w:r>
        <w:t xml:space="preserve">for maximal skeletal benefit—a synergy often neglected in public health messaging.</w:t>
      </w:r>
    </w:p>
    <w:p>
      <w:pPr>
        <w:pStyle w:val="a0"/>
      </w:pPr>
      <w:r>
        <w:t xml:space="preserve">Phosphorus, abundant in protein-rich foods and as food additives, rarely presents deficiency concerns in typical diets but may become problematic in</w:t>
      </w:r>
      <w:r>
        <w:t xml:space="preserve"> </w:t>
      </w:r>
      <w:r>
        <w:rPr>
          <w:b/>
          <w:bCs/>
        </w:rPr>
        <w:t xml:space="preserve">renal insufficiency</w:t>
      </w:r>
      <w:r>
        <w:t xml:space="preserve"> </w:t>
      </w:r>
      <w:r>
        <w:t xml:space="preserve">when excretory capacity declines. The</w:t>
      </w:r>
      <w:r>
        <w:t xml:space="preserve"> </w:t>
      </w:r>
      <w:r>
        <w:rPr>
          <w:b/>
          <w:bCs/>
        </w:rPr>
        <w:t xml:space="preserve">calcium-to-phosphorus ratio</w:t>
      </w:r>
      <w:r>
        <w:t xml:space="preserve"> </w:t>
      </w:r>
      <w:r>
        <w:t xml:space="preserve">in the diet influences bone health, with excessive phosphorus relative to calcium potentially stimulating parathyroid hormone and bone resorption. The proliferation of phosphorus additives in processed foods has raised concern about population-level calcium-phosphorus balance disruption.</w:t>
      </w:r>
    </w:p>
    <w:bookmarkEnd w:id="38"/>
    <w:bookmarkStart w:id="40" w:name="Xed98a1408085449a8b086cf562a426202b8b8ed"/>
    <w:p>
      <w:pPr>
        <w:pStyle w:val="5"/>
      </w:pPr>
      <w:r>
        <w:t xml:space="preserve">1.2.3.2 Sodium: Cardiovascular Implications and Age-Related Sensitivity</w:t>
      </w:r>
    </w:p>
    <w:p>
      <w:pPr>
        <w:pStyle w:val="FirstParagraph"/>
      </w:pPr>
      <w:r>
        <w:t xml:space="preserve">Sodium, the primary cation in extracellular fluid, maintains fluid balance, nerve impulse transmission, and muscle contraction. However,</w:t>
      </w:r>
      <w:r>
        <w:t xml:space="preserve"> </w:t>
      </w:r>
      <w:r>
        <w:rPr>
          <w:b/>
          <w:bCs/>
        </w:rPr>
        <w:t xml:space="preserve">excessive sodium intake—predominantly from processed and prepared foods rather than discretionary salt use—constitutes a major public health concern</w:t>
      </w:r>
      <w:r>
        <w:t xml:space="preserve">. The</w:t>
      </w:r>
      <w:r>
        <w:t xml:space="preserve"> </w:t>
      </w:r>
      <w:r>
        <w:rPr>
          <w:b/>
          <w:bCs/>
        </w:rPr>
        <w:t xml:space="preserve">Daily Value for sodium is &lt;2,300 mg per day</w:t>
      </w:r>
      <w:r>
        <w:t xml:space="preserve"> </w:t>
      </w:r>
      <w:r>
        <w:t xml:space="preserve">based on a 2,000-calorie diet, though the American Heart Association recommends an</w:t>
      </w:r>
      <w:r>
        <w:t xml:space="preserve"> </w:t>
      </w:r>
      <w:r>
        <w:rPr>
          <w:b/>
          <w:bCs/>
        </w:rPr>
        <w:t xml:space="preserve">ideal limit of 1,500 mg daily</w:t>
      </w:r>
      <w:r>
        <w:t xml:space="preserve"> </w:t>
      </w:r>
      <w:r>
        <w:t xml:space="preserve">for cardiovascular disease prevention</w:t>
      </w:r>
      <w:r>
        <w:t xml:space="preserve"> </w:t>
      </w:r>
      <w:hyperlink r:id="rId39">
        <w:r>
          <w:rPr>
            <w:rStyle w:val="af"/>
          </w:rPr>
          <w:t xml:space="preserve">(Food and Drug Administration (.gov))</w:t>
        </w:r>
      </w:hyperlink>
      <w:r>
        <w:t xml:space="preserve"> </w:t>
      </w:r>
      <w:r>
        <w:t xml:space="preserve">.</w:t>
      </w:r>
    </w:p>
    <w:p>
      <w:pPr>
        <w:pStyle w:val="a0"/>
      </w:pPr>
      <w:r>
        <w:rPr>
          <w:b/>
          <w:bCs/>
        </w:rPr>
        <w:t xml:space="preserve">Age-related increases in blood pressure sensitivity to sodium make restriction progressively important across the lifespan</w:t>
      </w:r>
      <w:r>
        <w:t xml:space="preserve">. Since blood pressure often rises with age,</w:t>
      </w:r>
      <w:r>
        <w:t xml:space="preserve"> </w:t>
      </w:r>
      <w:r>
        <w:rPr>
          <w:b/>
          <w:bCs/>
        </w:rPr>
        <w:t xml:space="preserve">limiting sodium intake becomes even more important each year for older adults</w:t>
      </w:r>
      <w:r>
        <w:t xml:space="preserve"> </w:t>
      </w:r>
      <w:hyperlink r:id="rId39">
        <w:r>
          <w:rPr>
            <w:rStyle w:val="af"/>
          </w:rPr>
          <w:t xml:space="preserve">(Food and Drug Administration (.gov))</w:t>
        </w:r>
      </w:hyperlink>
      <w:r>
        <w:t xml:space="preserve"> </w:t>
      </w:r>
      <w:r>
        <w:t xml:space="preserve">. The mechanism involves</w:t>
      </w:r>
      <w:r>
        <w:t xml:space="preserve"> </w:t>
      </w:r>
      <w:r>
        <w:rPr>
          <w:b/>
          <w:bCs/>
        </w:rPr>
        <w:t xml:space="preserve">age-related decline in renal sodium excretory capacity, vascular endothelial dysfunction, and increased arterial stiffness</w:t>
      </w:r>
      <w:r>
        <w:t xml:space="preserve">. For older adults already managing hypertension, heart failure, or chronic kidney disease,</w:t>
      </w:r>
      <w:r>
        <w:t xml:space="preserve"> </w:t>
      </w:r>
      <w:r>
        <w:rPr>
          <w:b/>
          <w:bCs/>
        </w:rPr>
        <w:t xml:space="preserve">sodium restriction to 1,500–2,000 mg daily</w:t>
      </w:r>
      <w:r>
        <w:t xml:space="preserve"> </w:t>
      </w:r>
      <w:r>
        <w:t xml:space="preserve">may provide substantial symptom reduction and disease progression delay. The</w:t>
      </w:r>
      <w:r>
        <w:t xml:space="preserve"> </w:t>
      </w:r>
      <w:r>
        <w:rPr>
          <w:b/>
          <w:bCs/>
        </w:rPr>
        <w:t xml:space="preserve">sodium-to-potassium intake ratio</w:t>
      </w:r>
      <w:r>
        <w:t xml:space="preserve"> </w:t>
      </w:r>
      <w:r>
        <w:t xml:space="preserve">has emerged as a stronger predictor of cardiovascular outcomes than either mineral alone, directing dietary recommendations toward increasing potassium-rich foods (fruits, vegetables, legumes) concurrently with sodium reduction.</w:t>
      </w:r>
    </w:p>
    <w:bookmarkEnd w:id="40"/>
    <w:bookmarkEnd w:id="41"/>
    <w:bookmarkStart w:id="45" w:name="trace-elements-iron-zinc-iodine-selenium"/>
    <w:p>
      <w:pPr>
        <w:pStyle w:val="4"/>
      </w:pPr>
      <w:r>
        <w:t xml:space="preserve">1.2.4 Trace Elements (Iron, Zinc, Iodine, Selenium)</w:t>
      </w:r>
    </w:p>
    <w:bookmarkStart w:id="42" w:name="Xb1cfe7eb5fe04c610f0db12f5f0f9720efc5ba7"/>
    <w:p>
      <w:pPr>
        <w:pStyle w:val="5"/>
      </w:pPr>
      <w:r>
        <w:t xml:space="preserve">1.2.4.1 Iron: Menstrual Losses, Pregnancy Demands, and Bioavailability</w:t>
      </w:r>
    </w:p>
    <w:p>
      <w:pPr>
        <w:pStyle w:val="FirstParagraph"/>
      </w:pPr>
      <w:r>
        <w:t xml:space="preserve">Iron serves as</w:t>
      </w:r>
      <w:r>
        <w:t xml:space="preserve"> </w:t>
      </w:r>
      <w:r>
        <w:rPr>
          <w:b/>
          <w:bCs/>
        </w:rPr>
        <w:t xml:space="preserve">essential component of hemoglobin, myoglobin, and numerous enzymes</w:t>
      </w:r>
      <w:r>
        <w:t xml:space="preserve"> </w:t>
      </w:r>
      <w:r>
        <w:t xml:space="preserve">in energy metabolism and immune function. The RDA varies dramatically by sex and life stage:</w:t>
      </w:r>
      <w:r>
        <w:t xml:space="preserve"> </w:t>
      </w:r>
      <w:r>
        <w:rPr>
          <w:b/>
          <w:bCs/>
        </w:rPr>
        <w:t xml:space="preserve">8 mg daily for adult men and postmenopausal women, 18 mg for premenopausal women</w:t>
      </w:r>
      <w:r>
        <w:t xml:space="preserve"> </w:t>
      </w:r>
      <w:r>
        <w:t xml:space="preserve">(reflecting menstrual losses of approximately 0.5 mg iron daily), increasing to</w:t>
      </w:r>
      <w:r>
        <w:t xml:space="preserve"> </w:t>
      </w:r>
      <w:r>
        <w:rPr>
          <w:b/>
          <w:bCs/>
        </w:rPr>
        <w:t xml:space="preserve">27 mg in pregnancy</w:t>
      </w:r>
      <w:r>
        <w:t xml:space="preserve"> </w:t>
      </w:r>
      <w:r>
        <w:t xml:space="preserve">to support expanded blood volume and fetal iron accumulation, then returning to</w:t>
      </w:r>
      <w:r>
        <w:t xml:space="preserve"> </w:t>
      </w:r>
      <w:r>
        <w:rPr>
          <w:b/>
          <w:bCs/>
        </w:rPr>
        <w:t xml:space="preserve">9 mg during lactation</w:t>
      </w:r>
      <w:r>
        <w:t xml:space="preserve"> </w:t>
      </w:r>
      <w:r>
        <w:t xml:space="preserve">when menstrual suppression reduces losses</w:t>
      </w:r>
      <w:r>
        <w:t xml:space="preserve"> </w:t>
      </w:r>
      <w:hyperlink r:id="rId29">
        <w:r>
          <w:rPr>
            <w:rStyle w:val="af"/>
          </w:rPr>
          <w:t xml:space="preserve">(OpenLearn)</w:t>
        </w:r>
      </w:hyperlink>
      <w:r>
        <w:t xml:space="preserve"> </w:t>
      </w:r>
      <w:r>
        <w:t xml:space="preserve">.</w:t>
      </w:r>
    </w:p>
    <w:p>
      <w:pPr>
        <w:pStyle w:val="a0"/>
      </w:pPr>
      <w:r>
        <w:t xml:space="preserve">The</w:t>
      </w:r>
      <w:r>
        <w:t xml:space="preserve"> </w:t>
      </w:r>
      <w:r>
        <w:rPr>
          <w:b/>
          <w:bCs/>
        </w:rPr>
        <w:t xml:space="preserve">postmenopausal transition illustrates dynamic iron requirement changes</w:t>
      </w:r>
      <w:r>
        <w:t xml:space="preserve">. Suggested iron intakes</w:t>
      </w:r>
      <w:r>
        <w:t xml:space="preserve"> </w:t>
      </w:r>
      <w:r>
        <w:rPr>
          <w:b/>
          <w:bCs/>
        </w:rPr>
        <w:t xml:space="preserve">reduce from 18 mg per day in women aged 19–50 to 8 mg per day after age 50</w:t>
      </w:r>
      <w:r>
        <w:t xml:space="preserve">, due to better iron conservation and decreased losses in postmenopausal women compared with younger women</w:t>
      </w:r>
      <w:r>
        <w:t xml:space="preserve"> </w:t>
      </w:r>
      <w:hyperlink r:id="rId29">
        <w:r>
          <w:rPr>
            <w:rStyle w:val="af"/>
          </w:rPr>
          <w:t xml:space="preserve">(OpenLearn)</w:t>
        </w:r>
      </w:hyperlink>
      <w:r>
        <w:t xml:space="preserve"> </w:t>
      </w:r>
      <w:r>
        <w:t xml:space="preserve">. This</w:t>
      </w:r>
      <w:r>
        <w:t xml:space="preserve"> </w:t>
      </w:r>
      <w:r>
        <w:rPr>
          <w:b/>
          <w:bCs/>
        </w:rPr>
        <w:t xml:space="preserve">55% reduction</w:t>
      </w:r>
      <w:r>
        <w:t xml:space="preserve"> </w:t>
      </w:r>
      <w:r>
        <w:t xml:space="preserve">acknowledges that without menstrual losses, iron balance is achieved at much lower intake levels, and</w:t>
      </w:r>
      <w:r>
        <w:t xml:space="preserve"> </w:t>
      </w:r>
      <w:r>
        <w:rPr>
          <w:b/>
          <w:bCs/>
        </w:rPr>
        <w:t xml:space="preserve">excessive iron accumulation may promote oxidative stress and cardiovascular risk</w:t>
      </w:r>
      <w:r>
        <w:t xml:space="preserve"> </w:t>
      </w:r>
      <w:r>
        <w:t xml:space="preserve">in susceptible individuals. However, iron deficiency may still occur in older adults due to gastrointestinal blood loss (from NSAIDs, anticoagulants, or underlying pathology including malignancy), malabsorption (atrophic gastritis, celiac disease), or inadequate dietary intake.</w:t>
      </w:r>
      <w:r>
        <w:t xml:space="preserve"> </w:t>
      </w:r>
      <w:r>
        <w:rPr>
          <w:b/>
          <w:bCs/>
        </w:rPr>
        <w:t xml:space="preserve">Unexplained iron deficiency anemia in older adults mandates appropriate diagnostic workup rather than simple supplementation</w:t>
      </w:r>
      <w:r>
        <w:t xml:space="preserve">, as it may herald occult malignancy.</w:t>
      </w:r>
    </w:p>
    <w:p>
      <w:pPr>
        <w:pStyle w:val="a0"/>
      </w:pPr>
      <w:r>
        <w:rPr>
          <w:b/>
          <w:bCs/>
        </w:rPr>
        <w:t xml:space="preserve">Iron bioavailability varies enormously by dietary source</w:t>
      </w:r>
      <w:r>
        <w:t xml:space="preserve">.</w:t>
      </w:r>
      <w:r>
        <w:t xml:space="preserve"> </w:t>
      </w:r>
      <w:r>
        <w:rPr>
          <w:b/>
          <w:bCs/>
        </w:rPr>
        <w:t xml:space="preserve">Heme iron from meat, poultry, and fish is absorbed at 15–35%</w:t>
      </w:r>
      <w:r>
        <w:t xml:space="preserve">, influenced little by other dietary components.</w:t>
      </w:r>
      <w:r>
        <w:t xml:space="preserve"> </w:t>
      </w:r>
      <w:r>
        <w:rPr>
          <w:b/>
          <w:bCs/>
        </w:rPr>
        <w:t xml:space="preserve">Non-heme iron from plant sources and supplements is absorbed at 2–20%</w:t>
      </w:r>
      <w:r>
        <w:t xml:space="preserve">, strongly influenced by enhancing factors (vitamin C, citric acid, meat protein) and inhibitors (phytates, polyphenols, calcium).</w:t>
      </w:r>
      <w:r>
        <w:t xml:space="preserve"> </w:t>
      </w:r>
      <w:r>
        <w:rPr>
          <w:b/>
          <w:bCs/>
        </w:rPr>
        <w:t xml:space="preserve">Vegetarians require approximately 1.8 times higher iron intake</w:t>
      </w:r>
      <w:r>
        <w:t xml:space="preserve"> </w:t>
      </w:r>
      <w:r>
        <w:t xml:space="preserve">to compensate for lower bioavailability, with strategic meal composition combining iron-rich plant foods with vitamin C sources and avoiding tea or coffee with meals.</w:t>
      </w:r>
    </w:p>
    <w:bookmarkEnd w:id="42"/>
    <w:bookmarkStart w:id="43" w:name="Xf573f9cb8afb54c2139469c11f1c431229f9895"/>
    <w:p>
      <w:pPr>
        <w:pStyle w:val="5"/>
      </w:pPr>
      <w:r>
        <w:t xml:space="preserve">1.2.4.2 Zinc and Iodine: Immune Function and Thyroid Regulation</w:t>
      </w:r>
    </w:p>
    <w:p>
      <w:pPr>
        <w:pStyle w:val="FirstParagraph"/>
      </w:pPr>
      <w:r>
        <w:t xml:space="preserve">Zinc participates in</w:t>
      </w:r>
      <w:r>
        <w:t xml:space="preserve"> </w:t>
      </w:r>
      <w:r>
        <w:rPr>
          <w:b/>
          <w:bCs/>
        </w:rPr>
        <w:t xml:space="preserve">over 300 enzymatic reactions</w:t>
      </w:r>
      <w:r>
        <w:t xml:space="preserve">, with critical roles in</w:t>
      </w:r>
      <w:r>
        <w:t xml:space="preserve"> </w:t>
      </w:r>
      <w:r>
        <w:rPr>
          <w:b/>
          <w:bCs/>
        </w:rPr>
        <w:t xml:space="preserve">immune cell development, wound healing, DNA synthesis, and growth</w:t>
      </w:r>
      <w:r>
        <w:t xml:space="preserve">. The RDA is</w:t>
      </w:r>
      <w:r>
        <w:t xml:space="preserve"> </w:t>
      </w:r>
      <w:r>
        <w:rPr>
          <w:b/>
          <w:bCs/>
        </w:rPr>
        <w:t xml:space="preserve">8 mg daily for women and 11 mg for men</w:t>
      </w:r>
      <w:r>
        <w:t xml:space="preserve">, with increased needs in pregnancy (11 mg) and lactation (12 mg). Zinc deficiency in children, particularly in vegetarian diets, manifests as</w:t>
      </w:r>
      <w:r>
        <w:t xml:space="preserve"> </w:t>
      </w:r>
      <w:r>
        <w:rPr>
          <w:b/>
          <w:bCs/>
        </w:rPr>
        <w:t xml:space="preserve">growth retardation, impaired immune function, and altered taste perception</w:t>
      </w:r>
      <w:r>
        <w:t xml:space="preserve">. Phytate-rich plant foods reduce zinc absorption, necessitating higher intake or processing methods (soaking, sprouting, fermenting) that reduce phytate content. The lower bioavailability of zinc from plant sources elevates requirements for vegetarians to approximately</w:t>
      </w:r>
      <w:r>
        <w:t xml:space="preserve"> </w:t>
      </w:r>
      <w:r>
        <w:rPr>
          <w:b/>
          <w:bCs/>
        </w:rPr>
        <w:t xml:space="preserve">150% of standard recommendations</w:t>
      </w:r>
      <w:r>
        <w:t xml:space="preserve">, emphasizing the need for zinc-rich food choices or supplementation when intake proves inadequate.</w:t>
      </w:r>
    </w:p>
    <w:p>
      <w:pPr>
        <w:pStyle w:val="a0"/>
      </w:pPr>
      <w:r>
        <w:t xml:space="preserve">Iodine, essential for</w:t>
      </w:r>
      <w:r>
        <w:t xml:space="preserve"> </w:t>
      </w:r>
      <w:r>
        <w:rPr>
          <w:b/>
          <w:bCs/>
        </w:rPr>
        <w:t xml:space="preserve">thyroid hormone synthesis (thyroxine T4, triiodothyronine T3)</w:t>
      </w:r>
      <w:r>
        <w:t xml:space="preserve">, regulates metabolic rate, growth, and neurological development. The</w:t>
      </w:r>
      <w:r>
        <w:t xml:space="preserve"> </w:t>
      </w:r>
      <w:r>
        <w:rPr>
          <w:b/>
          <w:bCs/>
        </w:rPr>
        <w:t xml:space="preserve">RDA of 150 micrograms daily increases to 220 micrograms in pregnancy and 290 micrograms in lactation</w:t>
      </w:r>
      <w:r>
        <w:t xml:space="preserve"> </w:t>
      </w:r>
      <w:r>
        <w:t xml:space="preserve">to support maternal thyroid hormone production and fetal brain development.</w:t>
      </w:r>
      <w:r>
        <w:t xml:space="preserve"> </w:t>
      </w:r>
      <w:r>
        <w:rPr>
          <w:b/>
          <w:bCs/>
        </w:rPr>
        <w:t xml:space="preserve">Iodized salt programs have dramatically reduced deficiency globally</w:t>
      </w:r>
      <w:r>
        <w:t xml:space="preserve">, but exclusion of iodized salt, seafood, and dairy products in certain dietary patterns (strict veganism, certain</w:t>
      </w:r>
      <w:r>
        <w:t xml:space="preserve"> </w:t>
      </w:r>
      <w:r>
        <w:t xml:space="preserve">“</w:t>
      </w:r>
      <w:r>
        <w:t xml:space="preserve">clean eating</w:t>
      </w:r>
      <w:r>
        <w:t xml:space="preserve">”</w:t>
      </w:r>
      <w:r>
        <w:t xml:space="preserve"> </w:t>
      </w:r>
      <w:r>
        <w:t xml:space="preserve">approaches) reintroduces deficiency risk, manifesting as goiter, hypothyroidism, or in pregnancy,</w:t>
      </w:r>
      <w:r>
        <w:t xml:space="preserve"> </w:t>
      </w:r>
      <w:r>
        <w:rPr>
          <w:b/>
          <w:bCs/>
        </w:rPr>
        <w:t xml:space="preserve">irreversible fetal neurological impairment (cretinism)</w:t>
      </w:r>
      <w:r>
        <w:t xml:space="preserve">. WHO recommends</w:t>
      </w:r>
      <w:r>
        <w:t xml:space="preserve"> </w:t>
      </w:r>
      <w:r>
        <w:rPr>
          <w:b/>
          <w:bCs/>
        </w:rPr>
        <w:t xml:space="preserve">iodized salt consumption during pregnancy as an essential nutrition action</w:t>
      </w:r>
      <w:r>
        <w:t xml:space="preserve"> </w:t>
      </w:r>
      <w:hyperlink r:id="rId29">
        <w:r>
          <w:rPr>
            <w:rStyle w:val="af"/>
          </w:rPr>
          <w:t xml:space="preserve">(OpenLearn)</w:t>
        </w:r>
      </w:hyperlink>
      <w:r>
        <w:t xml:space="preserve"> </w:t>
      </w:r>
      <w:r>
        <w:t xml:space="preserve">, recognizing that even mild maternal iodine deficiency can impair offspring neurocognitive development.</w:t>
      </w:r>
    </w:p>
    <w:bookmarkEnd w:id="43"/>
    <w:bookmarkStart w:id="44" w:name="X94daa254f83e6b1d036c7e48833ab4476d90415"/>
    <w:p>
      <w:pPr>
        <w:pStyle w:val="5"/>
      </w:pPr>
      <w:r>
        <w:t xml:space="preserve">1.2.4.3 Selenium: Antioxidant Defense and Elderly Vulnerability</w:t>
      </w:r>
    </w:p>
    <w:p>
      <w:pPr>
        <w:pStyle w:val="FirstParagraph"/>
      </w:pPr>
      <w:r>
        <w:t xml:space="preserve">Selenium, incorporated as</w:t>
      </w:r>
      <w:r>
        <w:t xml:space="preserve"> </w:t>
      </w:r>
      <w:r>
        <w:rPr>
          <w:b/>
          <w:bCs/>
        </w:rPr>
        <w:t xml:space="preserve">selenocysteine into 25 human selenoproteins</w:t>
      </w:r>
      <w:r>
        <w:t xml:space="preserve">, provides</w:t>
      </w:r>
      <w:r>
        <w:t xml:space="preserve"> </w:t>
      </w:r>
      <w:r>
        <w:rPr>
          <w:b/>
          <w:bCs/>
        </w:rPr>
        <w:t xml:space="preserve">antioxidant defense through glutathione peroxidases, thyroid hormone activation via deiodinases, and immune regulation</w:t>
      </w:r>
      <w:r>
        <w:t xml:space="preserve">.</w:t>
      </w:r>
      <w:r>
        <w:t xml:space="preserve"> </w:t>
      </w:r>
      <w:r>
        <w:rPr>
          <w:b/>
          <w:bCs/>
        </w:rPr>
        <w:t xml:space="preserve">Some elderly people demonstrate selenium deficiency</w:t>
      </w:r>
      <w:r>
        <w:t xml:space="preserve">, with</w:t>
      </w:r>
      <w:r>
        <w:t xml:space="preserve"> </w:t>
      </w:r>
      <w:r>
        <w:rPr>
          <w:b/>
          <w:bCs/>
        </w:rPr>
        <w:t xml:space="preserve">impaired immune function affecting susceptibility to infections and tumors</w:t>
      </w:r>
      <w:r>
        <w:t xml:space="preserve"> </w:t>
      </w:r>
      <w:hyperlink r:id="rId29">
        <w:r>
          <w:rPr>
            <w:rStyle w:val="af"/>
          </w:rPr>
          <w:t xml:space="preserve">(OpenLearn)</w:t>
        </w:r>
      </w:hyperlink>
      <w:r>
        <w:t xml:space="preserve"> </w:t>
      </w:r>
      <w:r>
        <w:t xml:space="preserve">. This vulnerability may reflect reduced food intake overall, decreased consumption of selenium-rich foods (Brazil nuts, seafood, organ meats), and impaired absorption or utilization with aging.</w:t>
      </w:r>
    </w:p>
    <w:p>
      <w:pPr>
        <w:pStyle w:val="a0"/>
      </w:pPr>
      <w:r>
        <w:t xml:space="preserve">The</w:t>
      </w:r>
      <w:r>
        <w:t xml:space="preserve"> </w:t>
      </w:r>
      <w:r>
        <w:rPr>
          <w:b/>
          <w:bCs/>
        </w:rPr>
        <w:t xml:space="preserve">RDA for selenium is 55 micrograms daily for adults</w:t>
      </w:r>
      <w:r>
        <w:t xml:space="preserve">, with evidence that modest supplementation can both prevent deficiency and support immune functions in elderly populations. However,</w:t>
      </w:r>
      <w:r>
        <w:t xml:space="preserve"> </w:t>
      </w:r>
      <w:r>
        <w:rPr>
          <w:b/>
          <w:bCs/>
        </w:rPr>
        <w:t xml:space="preserve">very high dose supplementation may have the opposite effect and result in immune-suppression</w:t>
      </w:r>
      <w:r>
        <w:t xml:space="preserve"> </w:t>
      </w:r>
      <w:hyperlink r:id="rId29">
        <w:r>
          <w:rPr>
            <w:rStyle w:val="af"/>
          </w:rPr>
          <w:t xml:space="preserve">(OpenLearn)</w:t>
        </w:r>
      </w:hyperlink>
      <w:r>
        <w:t xml:space="preserve"> </w:t>
      </w:r>
      <w:r>
        <w:t xml:space="preserve">, illustrating the</w:t>
      </w:r>
      <w:r>
        <w:t xml:space="preserve"> </w:t>
      </w:r>
      <w:r>
        <w:rPr>
          <w:b/>
          <w:bCs/>
        </w:rPr>
        <w:t xml:space="preserve">U-shaped dose-response relationship common to trace elements</w:t>
      </w:r>
      <w:r>
        <w:t xml:space="preserve"> </w:t>
      </w:r>
      <w:r>
        <w:t xml:space="preserve">where both deficiency and excess impair function. This principle—</w:t>
      </w:r>
      <w:r>
        <w:rPr>
          <w:b/>
          <w:bCs/>
        </w:rPr>
        <w:t xml:space="preserve">nutritional interventions should first emphasize healthy foods, with supplements playing a secondary role in elderly populations</w:t>
      </w:r>
      <w:r>
        <w:t xml:space="preserve">—has broad applicability. The narrow therapeutic window for selenium (adequate range approximately 50–200 micrograms daily, with toxicity emerging above 400 micrograms) exemplifies why food-first approaches are generally preferred to high-dose supplementation unless deficiency is documented.</w:t>
      </w:r>
    </w:p>
    <w:bookmarkEnd w:id="44"/>
    <w:bookmarkEnd w:id="45"/>
    <w:bookmarkEnd w:id="46"/>
    <w:bookmarkStart w:id="50" w:name="water-and-hydration"/>
    <w:p>
      <w:pPr>
        <w:pStyle w:val="3"/>
      </w:pPr>
      <w:r>
        <w:t xml:space="preserve">1.3 Water and Hydration</w:t>
      </w:r>
    </w:p>
    <w:bookmarkStart w:id="47" w:name="total-water-requirements-by-life-stage"/>
    <w:p>
      <w:pPr>
        <w:pStyle w:val="4"/>
      </w:pPr>
      <w:r>
        <w:t xml:space="preserve">1.3.1 Total Water Requirements by Life Stage</w:t>
      </w:r>
    </w:p>
    <w:p>
      <w:pPr>
        <w:pStyle w:val="FirstParagraph"/>
      </w:pPr>
      <w:r>
        <w:t xml:space="preserve">Water, often overlooked among essential nutrients, constitutes approximately</w:t>
      </w:r>
      <w:r>
        <w:t xml:space="preserve"> </w:t>
      </w:r>
      <w:r>
        <w:rPr>
          <w:b/>
          <w:bCs/>
        </w:rPr>
        <w:t xml:space="preserve">60% of adult body weight</w:t>
      </w:r>
      <w:r>
        <w:t xml:space="preserve"> </w:t>
      </w:r>
      <w:r>
        <w:t xml:space="preserve">and serves as solvent, transport medium, temperature regulator, and participant in metabolic reactions. Total water requirements include drinking water, water in beverages, and water in foods, with the latter contributing approximately</w:t>
      </w:r>
      <w:r>
        <w:t xml:space="preserve"> </w:t>
      </w:r>
      <w:r>
        <w:rPr>
          <w:b/>
          <w:bCs/>
        </w:rPr>
        <w:t xml:space="preserve">20% of total intake</w:t>
      </w:r>
      <w:r>
        <w:t xml:space="preserve"> </w:t>
      </w:r>
      <w:r>
        <w:t xml:space="preserve">in typical diets. The IOM established</w:t>
      </w:r>
      <w:r>
        <w:t xml:space="preserve"> </w:t>
      </w:r>
      <w:r>
        <w:rPr>
          <w:b/>
          <w:bCs/>
        </w:rPr>
        <w:t xml:space="preserve">Adequate Intakes for total water (from all sources) of 3.7 liters daily for men and 2.7 liters for women</w:t>
      </w:r>
      <w:r>
        <w:t xml:space="preserve">, with wide individual variation based on body size, physical activity, and environmental temperature</w:t>
      </w:r>
      <w:r>
        <w:t xml:space="preserve"> </w:t>
      </w:r>
      <w:hyperlink r:id="rId21">
        <w:r>
          <w:rPr>
            <w:rStyle w:val="af"/>
          </w:rPr>
          <w:t xml:space="preserve">(nih.gov)</w:t>
        </w:r>
      </w:hyperlink>
      <w:r>
        <w:t xml:space="preserve"> </w:t>
      </w:r>
      <w:r>
        <w:t xml:space="preserve">.</w:t>
      </w:r>
    </w:p>
    <w:p>
      <w:pPr>
        <w:pStyle w:val="a0"/>
      </w:pPr>
      <w:r>
        <w:t xml:space="preserve">These recommendations translate to approximately</w:t>
      </w:r>
      <w:r>
        <w:t xml:space="preserve"> </w:t>
      </w:r>
      <w:r>
        <w:rPr>
          <w:b/>
          <w:bCs/>
        </w:rPr>
        <w:t xml:space="preserve">8–12 cups of beverages daily</w:t>
      </w:r>
      <w:r>
        <w:t xml:space="preserve"> </w:t>
      </w:r>
      <w:r>
        <w:t xml:space="preserve">for most adults, with</w:t>
      </w:r>
      <w:r>
        <w:t xml:space="preserve"> </w:t>
      </w:r>
      <w:r>
        <w:rPr>
          <w:b/>
          <w:bCs/>
        </w:rPr>
        <w:t xml:space="preserve">water as the preferred source</w:t>
      </w:r>
      <w:r>
        <w:t xml:space="preserve"> </w:t>
      </w:r>
      <w:r>
        <w:t xml:space="preserve">due to absence of calories, sugars, and additives. However, total water requirements scale dramatically across life stages, with infants having the highest per-kilogram needs due to greater body water content (75%), higher metabolic rate, and limited renal concentrating capacity.</w:t>
      </w:r>
    </w:p>
    <w:bookmarkEnd w:id="47"/>
    <w:bookmarkStart w:id="49" w:name="Xddfc222ada000952453be837dc8bf7e70a7a32d"/>
    <w:p>
      <w:pPr>
        <w:pStyle w:val="4"/>
      </w:pPr>
      <w:r>
        <w:t xml:space="preserve">1.3.2 Dehydration Risks in Infants, Children, and Older Adults</w:t>
      </w:r>
    </w:p>
    <w:p>
      <w:pPr>
        <w:pStyle w:val="FirstParagraph"/>
      </w:pPr>
      <w:r>
        <w:rPr>
          <w:b/>
          <w:bCs/>
        </w:rPr>
        <w:t xml:space="preserve">Vulnerable populations face heightened dehydration risk due to physiological and behavioral factors that compromise water balance maintenance</w:t>
      </w:r>
      <w:r>
        <w:t xml:space="preserve">:</w:t>
      </w:r>
    </w:p>
    <w:tbl>
      <w:tblPr>
        <w:tblStyle w:val="Table"/>
        <w:tblW w:type="pct" w:w="5000"/>
        <w:jc w:val="left"/>
        <w:tblLayout w:type="fixed"/>
        <w:tblLook w:firstRow="1" w:lastRow="0" w:firstColumn="0" w:lastColumn="0" w:noHBand="0" w:noVBand="0" w:val="0020"/>
      </w:tblPr>
      <w:tblGrid>
        <w:gridCol w:w="1210"/>
        <w:gridCol w:w="1320"/>
        <w:gridCol w:w="2970"/>
        <w:gridCol w:w="2420"/>
      </w:tblGrid>
      <w:tr>
        <w:trPr>
          <w:tblHeader w:val="on"/>
        </w:trPr>
        <w:tc>
          <w:tcPr/>
          <w:p>
            <w:pPr>
              <w:pStyle w:val="Compact"/>
              <w:jc w:val="left"/>
            </w:pPr>
            <w:r>
              <w:t xml:space="preserve">Population</w:t>
            </w:r>
          </w:p>
        </w:tc>
        <w:tc>
          <w:tcPr/>
          <w:p>
            <w:pPr>
              <w:pStyle w:val="Compact"/>
              <w:jc w:val="left"/>
            </w:pPr>
            <w:r>
              <w:t xml:space="preserve">Risk Factors</w:t>
            </w:r>
          </w:p>
        </w:tc>
        <w:tc>
          <w:tcPr/>
          <w:p>
            <w:pPr>
              <w:pStyle w:val="Compact"/>
              <w:jc w:val="left"/>
            </w:pPr>
            <w:r>
              <w:t xml:space="preserve">Consequences of Dehydration</w:t>
            </w:r>
          </w:p>
        </w:tc>
        <w:tc>
          <w:tcPr/>
          <w:p>
            <w:pPr>
              <w:pStyle w:val="Compact"/>
              <w:jc w:val="left"/>
            </w:pPr>
            <w:r>
              <w:t xml:space="preserve">Prevention Strategies</w:t>
            </w:r>
          </w:p>
        </w:tc>
      </w:tr>
      <w:tr>
        <w:tc>
          <w:tcPr/>
          <w:p>
            <w:pPr>
              <w:pStyle w:val="Compact"/>
              <w:jc w:val="left"/>
            </w:pPr>
            <w:r>
              <w:rPr>
                <w:b/>
                <w:bCs/>
              </w:rPr>
              <w:t xml:space="preserve">Infants</w:t>
            </w:r>
          </w:p>
        </w:tc>
        <w:tc>
          <w:tcPr/>
          <w:p>
            <w:pPr>
              <w:pStyle w:val="Compact"/>
              <w:jc w:val="left"/>
            </w:pPr>
            <w:r>
              <w:t xml:space="preserve">Higher body water content (75%); larger surface-area-to-mass ratio; immature renal concentrating capacity; dependence on caregivers for fluid provision</w:t>
            </w:r>
          </w:p>
        </w:tc>
        <w:tc>
          <w:tcPr/>
          <w:p>
            <w:pPr>
              <w:pStyle w:val="Compact"/>
              <w:jc w:val="left"/>
            </w:pPr>
            <w:r>
              <w:t xml:space="preserve">Hypernatremia, fever, poor feeding, lethargy, seizures in severe cases</w:t>
            </w:r>
          </w:p>
        </w:tc>
        <w:tc>
          <w:tcPr/>
          <w:p>
            <w:pPr>
              <w:pStyle w:val="Compact"/>
              <w:jc w:val="left"/>
            </w:pPr>
            <w:r>
              <w:t xml:space="preserve">Responsive feeding; adequate breast milk/formula intake; monitoring during illness</w:t>
            </w:r>
          </w:p>
        </w:tc>
      </w:tr>
      <w:tr>
        <w:tc>
          <w:tcPr/>
          <w:p>
            <w:pPr>
              <w:pStyle w:val="Compact"/>
              <w:jc w:val="left"/>
            </w:pPr>
            <w:r>
              <w:rPr>
                <w:b/>
                <w:bCs/>
              </w:rPr>
              <w:t xml:space="preserve">Children</w:t>
            </w:r>
          </w:p>
        </w:tc>
        <w:tc>
          <w:tcPr/>
          <w:p>
            <w:pPr>
              <w:pStyle w:val="Compact"/>
              <w:jc w:val="left"/>
            </w:pPr>
            <w:r>
              <w:t xml:space="preserve">High activity levels; failure to recognize/respond to thirst; larger surface area per body weight; reduced sweating capacity compared to adults</w:t>
            </w:r>
          </w:p>
        </w:tc>
        <w:tc>
          <w:tcPr/>
          <w:p>
            <w:pPr>
              <w:pStyle w:val="Compact"/>
              <w:jc w:val="left"/>
            </w:pPr>
            <w:r>
              <w:t xml:space="preserve">Reduced exercise performance, cognitive impairment, constipation, urinary tract infections</w:t>
            </w:r>
          </w:p>
        </w:tc>
        <w:tc>
          <w:tcPr/>
          <w:p>
            <w:pPr>
              <w:pStyle w:val="Compact"/>
              <w:jc w:val="left"/>
            </w:pPr>
            <w:r>
              <w:t xml:space="preserve">Scheduled fluid breaks during activity; education on thirst recognition; access to water in schools</w:t>
            </w:r>
          </w:p>
        </w:tc>
      </w:tr>
      <w:tr>
        <w:tc>
          <w:tcPr/>
          <w:p>
            <w:pPr>
              <w:pStyle w:val="Compact"/>
              <w:jc w:val="left"/>
            </w:pPr>
            <w:r>
              <w:rPr>
                <w:b/>
                <w:bCs/>
              </w:rPr>
              <w:t xml:space="preserve">Older adults</w:t>
            </w:r>
          </w:p>
        </w:tc>
        <w:tc>
          <w:tcPr/>
          <w:p>
            <w:pPr>
              <w:pStyle w:val="Compact"/>
              <w:jc w:val="left"/>
            </w:pPr>
            <w:r>
              <w:t xml:space="preserve">Reduced total body water (50–55%); blunted thirst sensation; diminished renal concentrating ability; medication effects (diuretics, laxatives); cognitive/physical limitations affecting fluid access</w:t>
            </w:r>
          </w:p>
        </w:tc>
        <w:tc>
          <w:tcPr/>
          <w:p>
            <w:pPr>
              <w:pStyle w:val="Compact"/>
              <w:jc w:val="left"/>
            </w:pPr>
            <w:r>
              <w:t xml:space="preserve">Falls, urinary tract infections, constipation, delirium, acute kidney injury, medication toxicity</w:t>
            </w:r>
          </w:p>
        </w:tc>
        <w:tc>
          <w:tcPr/>
          <w:p>
            <w:pPr>
              <w:pStyle w:val="Compact"/>
              <w:jc w:val="left"/>
            </w:pPr>
            <w:r>
              <w:t xml:space="preserve">Scheduled fluid intake regardless of thirst; caregiver assistance; monitoring of diuretic use; environmental modifications</w:t>
            </w:r>
          </w:p>
        </w:tc>
      </w:tr>
    </w:tbl>
    <w:p>
      <w:pPr>
        <w:pStyle w:val="a0"/>
      </w:pPr>
      <w:r>
        <w:rPr>
          <w:b/>
          <w:bCs/>
        </w:rPr>
        <w:t xml:space="preserve">Infants and children face elevated dehydration risk due to physiological and behavioral factors</w:t>
      </w:r>
      <w:r>
        <w:t xml:space="preserve">. Children have a</w:t>
      </w:r>
      <w:r>
        <w:t xml:space="preserve"> </w:t>
      </w:r>
      <w:r>
        <w:rPr>
          <w:b/>
          <w:bCs/>
        </w:rPr>
        <w:t xml:space="preserve">larger body surface area per unit of body weight and a reduced capacity for sweating when compared with adults</w:t>
      </w:r>
      <w:r>
        <w:t xml:space="preserve">, and therefore are at greater risk of morbidity and mortality from dehydration</w:t>
      </w:r>
      <w:r>
        <w:t xml:space="preserve"> </w:t>
      </w:r>
      <w:hyperlink r:id="rId29">
        <w:r>
          <w:rPr>
            <w:rStyle w:val="af"/>
          </w:rPr>
          <w:t xml:space="preserve">(OpenLearn)</w:t>
        </w:r>
      </w:hyperlink>
      <w:r>
        <w:t xml:space="preserve"> </w:t>
      </w:r>
      <w:r>
        <w:t xml:space="preserve">. Their higher metabolic rate generates more water per unit body weight, while immature kidney concentrating ability limits water conservation capacity.</w:t>
      </w:r>
      <w:r>
        <w:t xml:space="preserve"> </w:t>
      </w:r>
      <w:r>
        <w:rPr>
          <w:b/>
          <w:bCs/>
        </w:rPr>
        <w:t xml:space="preserve">Parents may underestimate these fluid needs, especially if infants and children are experiencing fever, diarrhoea or exposure to very cold or very hot temperatures</w:t>
      </w:r>
      <w:r>
        <w:t xml:space="preserve"> </w:t>
      </w:r>
      <w:hyperlink r:id="rId29">
        <w:r>
          <w:rPr>
            <w:rStyle w:val="af"/>
          </w:rPr>
          <w:t xml:space="preserve">(OpenLearn)</w:t>
        </w:r>
      </w:hyperlink>
      <w:r>
        <w:t xml:space="preserve"> </w:t>
      </w:r>
      <w:r>
        <w:t xml:space="preserve">. Total water requirements (from beverages and foods) are also</w:t>
      </w:r>
      <w:r>
        <w:t xml:space="preserve"> </w:t>
      </w:r>
      <w:r>
        <w:rPr>
          <w:b/>
          <w:bCs/>
        </w:rPr>
        <w:t xml:space="preserve">higher in infants and children than for adults on a body weight basis</w:t>
      </w:r>
      <w:r>
        <w:t xml:space="preserve">, necessitating vigilant attention to fluid provision during illness and environmental extremes.</w:t>
      </w:r>
    </w:p>
    <w:p>
      <w:pPr>
        <w:pStyle w:val="a0"/>
      </w:pPr>
      <w:r>
        <w:rPr>
          <w:b/>
          <w:bCs/>
        </w:rPr>
        <w:t xml:space="preserve">Elderly individuals experience complementary vulnerabilities</w:t>
      </w:r>
      <w:r>
        <w:t xml:space="preserve">: reduced thirst sensation, blunted renal concentrating ability, potential fluid restriction for medical conditions, and cognitive impairment that may include forgetting to drink. These factors combine to make</w:t>
      </w:r>
      <w:r>
        <w:t xml:space="preserve"> </w:t>
      </w:r>
      <w:r>
        <w:rPr>
          <w:b/>
          <w:bCs/>
        </w:rPr>
        <w:t xml:space="preserve">dehydration one of the most common preventable causes of hospitalization in older adults</w:t>
      </w:r>
      <w:r>
        <w:t xml:space="preserve">, with consequences including confusion, falls, urinary tract infections, renal dysfunction, and medication toxicity. The Dietary Guidelines specifically recommend that older adults drink plenty of water and other unsweetened beverages, with attention to</w:t>
      </w:r>
      <w:r>
        <w:t xml:space="preserve"> </w:t>
      </w:r>
      <w:r>
        <w:rPr>
          <w:b/>
          <w:bCs/>
        </w:rPr>
        <w:t xml:space="preserve">ensuring adequate fluid intake even in the absence of thirst sensation</w:t>
      </w:r>
      <w:r>
        <w:t xml:space="preserve"> </w:t>
      </w:r>
      <w:hyperlink r:id="rId48">
        <w:r>
          <w:rPr>
            <w:rStyle w:val="af"/>
          </w:rPr>
          <w:t xml:space="preserve">(American Heart Association)</w:t>
        </w:r>
      </w:hyperlink>
      <w:r>
        <w:t xml:space="preserve"> </w:t>
      </w:r>
      <w:r>
        <w:t xml:space="preserve">.</w:t>
      </w:r>
    </w:p>
    <w:bookmarkEnd w:id="49"/>
    <w:bookmarkEnd w:id="50"/>
    <w:bookmarkEnd w:id="51"/>
    <w:bookmarkStart w:id="63" w:name="X60026999dcdafd792d8f03db6ac232c5cda85f3"/>
    <w:p>
      <w:pPr>
        <w:pStyle w:val="2"/>
      </w:pPr>
      <w:r>
        <w:t xml:space="preserve">2. Dietary Reference Intakes and Nutritional Standards</w:t>
      </w:r>
    </w:p>
    <w:bookmarkStart w:id="57" w:name="X9fa502d23ea87815d3c9af3c163c75950c5c77e"/>
    <w:p>
      <w:pPr>
        <w:pStyle w:val="3"/>
      </w:pPr>
      <w:r>
        <w:t xml:space="preserve">2.1 Framework of Dietary Reference Intakes (DRIs)</w:t>
      </w:r>
    </w:p>
    <w:p>
      <w:pPr>
        <w:pStyle w:val="FirstParagraph"/>
      </w:pPr>
      <w:r>
        <w:t xml:space="preserve">The</w:t>
      </w:r>
      <w:r>
        <w:t xml:space="preserve"> </w:t>
      </w:r>
      <w:r>
        <w:rPr>
          <w:b/>
          <w:bCs/>
        </w:rPr>
        <w:t xml:space="preserve">Dietary Reference Intakes (DRIs)</w:t>
      </w:r>
      <w:r>
        <w:t xml:space="preserve"> </w:t>
      </w:r>
      <w:r>
        <w:t xml:space="preserve">represent the comprehensive set of nutrient reference values developed by the Food and Nutrition Board of the National Academies of Sciences, Engineering, and Medicine, replacing and expanding upon the earlier Recommended Dietary Allowances (RDAs)</w:t>
      </w:r>
      <w:r>
        <w:t xml:space="preserve"> </w:t>
      </w:r>
      <w:hyperlink r:id="rId52">
        <w:r>
          <w:rPr>
            <w:rStyle w:val="af"/>
          </w:rPr>
          <w:t xml:space="preserve">(Office of Dietary Supplements (ODS))</w:t>
        </w:r>
      </w:hyperlink>
      <w:r>
        <w:t xml:space="preserve"> </w:t>
      </w:r>
      <w:r>
        <w:t xml:space="preserve">. These values serve multiple purposes: planning nutritionally adequate diets for individuals and groups, assessing nutrient intake adequacy, and informing food labeling and public health policy. The DRI framework encompasses four distinct reference values, each with specific applications and interpretations.</w:t>
      </w:r>
    </w:p>
    <w:bookmarkStart w:id="53" w:name="X68fb63cf333f3436ce4ac266fd8bfef9505a77f"/>
    <w:p>
      <w:pPr>
        <w:pStyle w:val="4"/>
      </w:pPr>
      <w:r>
        <w:t xml:space="preserve">2.1.1 Recommended Dietary Allowance (RDA): 97–98% Population Coverage</w:t>
      </w:r>
    </w:p>
    <w:p>
      <w:pPr>
        <w:pStyle w:val="FirstParagraph"/>
      </w:pPr>
      <w:r>
        <w:t xml:space="preserve">The</w:t>
      </w:r>
      <w:r>
        <w:t xml:space="preserve"> </w:t>
      </w:r>
      <w:r>
        <w:rPr>
          <w:b/>
          <w:bCs/>
        </w:rPr>
        <w:t xml:space="preserve">RDA represents the average daily level of intake sufficient to meet the nutrient requirements of nearly all (97–98%) healthy individuals</w:t>
      </w:r>
      <w:r>
        <w:t xml:space="preserve"> </w:t>
      </w:r>
      <w:r>
        <w:t xml:space="preserve">in a particular life stage and sex group</w:t>
      </w:r>
      <w:r>
        <w:t xml:space="preserve"> </w:t>
      </w:r>
      <w:hyperlink r:id="rId52">
        <w:r>
          <w:rPr>
            <w:rStyle w:val="af"/>
          </w:rPr>
          <w:t xml:space="preserve">(Office of Dietary Supplements (ODS))</w:t>
        </w:r>
      </w:hyperlink>
      <w:r>
        <w:t xml:space="preserve"> </w:t>
      </w:r>
      <w:r>
        <w:t xml:space="preserve">. This value is derived from the Estimated Average Requirement (EAR) by adding two standard deviations, assuming normal distribution of individual requirements. The RDA serves as the</w:t>
      </w:r>
      <w:r>
        <w:t xml:space="preserve"> </w:t>
      </w:r>
      <w:r>
        <w:rPr>
          <w:b/>
          <w:bCs/>
        </w:rPr>
        <w:t xml:space="preserve">primary target for individual dietary planning</w:t>
      </w:r>
      <w:r>
        <w:t xml:space="preserve">—if a person consistently consumes the RDA, the probability of inadequacy is very low (2–3%). However, the RDA is</w:t>
      </w:r>
      <w:r>
        <w:t xml:space="preserve"> </w:t>
      </w:r>
      <w:r>
        <w:rPr>
          <w:b/>
          <w:bCs/>
        </w:rPr>
        <w:t xml:space="preserve">not a minimum requirement</w:t>
      </w:r>
      <w:r>
        <w:t xml:space="preserve">; many individuals maintain adequate status at lower intakes, and exceeding the RDA does not necessarily confer additional benefit. This distinction is frequently misunderstood, leading to unnecessary anxiety about single-day intake shortfalls and excessive supplement use.</w:t>
      </w:r>
    </w:p>
    <w:bookmarkEnd w:id="53"/>
    <w:bookmarkStart w:id="54" w:name="Xd9af61a823a339722fc6ed321bb4c12ccc6f569"/>
    <w:p>
      <w:pPr>
        <w:pStyle w:val="4"/>
      </w:pPr>
      <w:r>
        <w:t xml:space="preserve">2.1.2 Adequate Intake (AI): Evidence-Insufficient Benchmarks</w:t>
      </w:r>
    </w:p>
    <w:p>
      <w:pPr>
        <w:pStyle w:val="FirstParagraph"/>
      </w:pPr>
      <w:r>
        <w:t xml:space="preserve">The</w:t>
      </w:r>
      <w:r>
        <w:t xml:space="preserve"> </w:t>
      </w:r>
      <w:r>
        <w:rPr>
          <w:b/>
          <w:bCs/>
        </w:rPr>
        <w:t xml:space="preserve">AI is established when evidence is insufficient to develop an EAR and subsequently an RDA</w:t>
      </w:r>
      <w:r>
        <w:t xml:space="preserve">. The AI represents intake at a level</w:t>
      </w:r>
      <w:r>
        <w:t xml:space="preserve"> </w:t>
      </w:r>
      <w:r>
        <w:rPr>
          <w:b/>
          <w:bCs/>
        </w:rPr>
        <w:t xml:space="preserve">assumed to ensure nutritional adequacy based on observed or experimentally determined approximations of nutrient intake by a group (or groups) of healthy people</w:t>
      </w:r>
      <w:r>
        <w:t xml:space="preserve"> </w:t>
      </w:r>
      <w:hyperlink r:id="rId52">
        <w:r>
          <w:rPr>
            <w:rStyle w:val="af"/>
          </w:rPr>
          <w:t xml:space="preserve">(Office of Dietary Supplements (ODS))</w:t>
        </w:r>
      </w:hyperlink>
      <w:r>
        <w:t xml:space="preserve"> </w:t>
      </w:r>
      <w:r>
        <w:t xml:space="preserve">. Examples include AI values for fiber, water, and several vitamins and minerals in infancy. The AI provides a useful benchmark but carries</w:t>
      </w:r>
      <w:r>
        <w:t xml:space="preserve"> </w:t>
      </w:r>
      <w:r>
        <w:rPr>
          <w:b/>
          <w:bCs/>
        </w:rPr>
        <w:t xml:space="preserve">greater uncertainty than the RDA</w:t>
      </w:r>
      <w:r>
        <w:t xml:space="preserve">, as the percentage of the population covered cannot be precisely determined. When using AI values, it is appropriate to aim for at least this level, with recognition that true requirements may be higher or lower for specific individuals.</w:t>
      </w:r>
    </w:p>
    <w:bookmarkEnd w:id="54"/>
    <w:bookmarkStart w:id="55" w:name="X76f229aadc4f273b57365fb4c79d9db7d098c69"/>
    <w:p>
      <w:pPr>
        <w:pStyle w:val="4"/>
      </w:pPr>
      <w:r>
        <w:t xml:space="preserve">2.1.3 Estimated Average Requirement (EAR): 50% Population Threshold</w:t>
      </w:r>
    </w:p>
    <w:p>
      <w:pPr>
        <w:pStyle w:val="FirstParagraph"/>
      </w:pPr>
      <w:r>
        <w:t xml:space="preserve">The</w:t>
      </w:r>
      <w:r>
        <w:t xml:space="preserve"> </w:t>
      </w:r>
      <w:r>
        <w:rPr>
          <w:b/>
          <w:bCs/>
        </w:rPr>
        <w:t xml:space="preserve">EAR represents the average daily level of intake estimated to meet the requirements of 50% of healthy individuals</w:t>
      </w:r>
      <w:r>
        <w:t xml:space="preserve"> </w:t>
      </w:r>
      <w:r>
        <w:t xml:space="preserve">in a particular life stage and sex group</w:t>
      </w:r>
      <w:r>
        <w:t xml:space="preserve"> </w:t>
      </w:r>
      <w:hyperlink r:id="rId52">
        <w:r>
          <w:rPr>
            <w:rStyle w:val="af"/>
          </w:rPr>
          <w:t xml:space="preserve">(Office of Dietary Supplements (ODS))</w:t>
        </w:r>
      </w:hyperlink>
      <w:r>
        <w:t xml:space="preserve"> </w:t>
      </w:r>
      <w:r>
        <w:t xml:space="preserve">. This value is</w:t>
      </w:r>
      <w:r>
        <w:t xml:space="preserve"> </w:t>
      </w:r>
      <w:r>
        <w:rPr>
          <w:b/>
          <w:bCs/>
        </w:rPr>
        <w:t xml:space="preserve">primarily used for assessing nutrient intakes of groups</w:t>
      </w:r>
      <w:r>
        <w:t xml:space="preserve">—comparing mean intake to the EAR allows estimation of prevalence of inadequacy. The EAR also serves as the basis for calculating the RDA and for evaluating the nutritional adequacy of food supplies and dietary patterns at population level. For individual assessment,</w:t>
      </w:r>
      <w:r>
        <w:t xml:space="preserve"> </w:t>
      </w:r>
      <w:r>
        <w:rPr>
          <w:b/>
          <w:bCs/>
        </w:rPr>
        <w:t xml:space="preserve">intake below the EAR indicates high probability of inadequacy</w:t>
      </w:r>
      <w:r>
        <w:t xml:space="preserve">, while intake between EAR and RDA suggests some probability of inadequacy. This metric is particularly valuable for public health nutrition surveillance and policy planning.</w:t>
      </w:r>
    </w:p>
    <w:bookmarkEnd w:id="55"/>
    <w:bookmarkStart w:id="56" w:name="X358fdb6818947a3472fb7f65ddcec61e0f5ce4a"/>
    <w:p>
      <w:pPr>
        <w:pStyle w:val="4"/>
      </w:pPr>
      <w:r>
        <w:t xml:space="preserve">2.1.4 Tolerable Upper Intake Level (UL): Toxicity Prevention</w:t>
      </w:r>
    </w:p>
    <w:p>
      <w:pPr>
        <w:pStyle w:val="FirstParagraph"/>
      </w:pPr>
      <w:r>
        <w:t xml:space="preserve">The</w:t>
      </w:r>
      <w:r>
        <w:t xml:space="preserve"> </w:t>
      </w:r>
      <w:r>
        <w:rPr>
          <w:b/>
          <w:bCs/>
        </w:rPr>
        <w:t xml:space="preserve">UL represents the maximum daily intake unlikely to cause adverse health effects in almost all individuals</w:t>
      </w:r>
      <w:r>
        <w:t xml:space="preserve"> </w:t>
      </w:r>
      <w:r>
        <w:t xml:space="preserve">in the specified group</w:t>
      </w:r>
      <w:r>
        <w:t xml:space="preserve"> </w:t>
      </w:r>
      <w:hyperlink r:id="rId52">
        <w:r>
          <w:rPr>
            <w:rStyle w:val="af"/>
          </w:rPr>
          <w:t xml:space="preserve">(Office of Dietary Supplements (ODS))</w:t>
        </w:r>
      </w:hyperlink>
      <w:r>
        <w:t xml:space="preserve"> </w:t>
      </w:r>
      <w:r>
        <w:t xml:space="preserve">. As intake increases above the UL, the risk of adverse effects increases. The UL is</w:t>
      </w:r>
      <w:r>
        <w:t xml:space="preserve"> </w:t>
      </w:r>
      <w:r>
        <w:rPr>
          <w:b/>
          <w:bCs/>
        </w:rPr>
        <w:t xml:space="preserve">not a recommended level of intake</w:t>
      </w:r>
      <w:r>
        <w:t xml:space="preserve">—there is no established benefit to consuming nutrients at levels near the UL. This value is particularly important for nutrients with</w:t>
      </w:r>
      <w:r>
        <w:t xml:space="preserve"> </w:t>
      </w:r>
      <w:r>
        <w:rPr>
          <w:b/>
          <w:bCs/>
        </w:rPr>
        <w:t xml:space="preserve">narrow safety margins (fat-soluble vitamins, iron, zinc, selenium, vitamin B6)</w:t>
      </w:r>
      <w:r>
        <w:t xml:space="preserve"> </w:t>
      </w:r>
      <w:r>
        <w:t xml:space="preserve">and for populations with high supplement use.</w:t>
      </w:r>
      <w:r>
        <w:t xml:space="preserve"> </w:t>
      </w:r>
      <w:r>
        <w:rPr>
          <w:b/>
          <w:bCs/>
        </w:rPr>
        <w:t xml:space="preserve">The margin between RDA and UL varies substantially by nutrient; fat-soluble vitamins have a smaller margin of safety between the RDA and the UL than water-soluble vitamins</w:t>
      </w:r>
      <w:r>
        <w:t xml:space="preserve">, meaning that it’s easier to consume toxic levels of fat-soluble vitamins</w:t>
      </w:r>
      <w:r>
        <w:t xml:space="preserve"> </w:t>
      </w:r>
      <w:hyperlink r:id="rId20">
        <w:r>
          <w:rPr>
            <w:rStyle w:val="af"/>
          </w:rPr>
          <w:t xml:space="preserve">(Medicine LibreTexts)</w:t>
        </w:r>
      </w:hyperlink>
      <w:r>
        <w:t xml:space="preserve"> </w:t>
      </w:r>
      <w:r>
        <w:t xml:space="preserve">. This differential safety margin explains why vitamin A and D toxicity occurs with moderate excess, while water-soluble vitamin excess is generally excreted harmlessly.</w:t>
      </w:r>
    </w:p>
    <w:bookmarkEnd w:id="56"/>
    <w:bookmarkEnd w:id="57"/>
    <w:bookmarkStart w:id="58" w:name="X6cb5ffe8e8c6b9676d8c6de57b5d3dbb46a1b3a"/>
    <w:p>
      <w:pPr>
        <w:pStyle w:val="3"/>
      </w:pPr>
      <w:r>
        <w:t xml:space="preserve">2.2 Acceptable Macronutrient Distribution Ranges (AMDRs)</w:t>
      </w:r>
    </w:p>
    <w:p>
      <w:pPr>
        <w:pStyle w:val="FirstParagraph"/>
      </w:pPr>
      <w:r>
        <w:t xml:space="preserve">The</w:t>
      </w:r>
      <w:r>
        <w:t xml:space="preserve"> </w:t>
      </w:r>
      <w:r>
        <w:rPr>
          <w:b/>
          <w:bCs/>
        </w:rPr>
        <w:t xml:space="preserve">AMDRs provide flexible ranges of macronutrient intakes associated with reduced risk of chronic disease while providing recommended intakes of other essential nutrients</w:t>
      </w:r>
      <w:r>
        <w:t xml:space="preserve"> </w:t>
      </w:r>
      <w:hyperlink r:id="rId20">
        <w:r>
          <w:rPr>
            <w:rStyle w:val="af"/>
          </w:rPr>
          <w:t xml:space="preserve">(Medicine LibreTexts)</w:t>
        </w:r>
      </w:hyperlink>
      <w:r>
        <w:t xml:space="preserve"> </w:t>
      </w:r>
      <w:r>
        <w:t xml:space="preserve">. These ranges acknowledge that multiple dietary patterns can support health, allowing cultural, personal, and metabolic variation while establishing boundaries beyond which risk may increase.</w:t>
      </w:r>
    </w:p>
    <w:tbl>
      <w:tblPr>
        <w:tblStyle w:val="Table"/>
        <w:tblW w:type="pct" w:w="5000"/>
        <w:jc w:val="left"/>
        <w:tblLayout w:type="fixed"/>
        <w:tblLook w:firstRow="1" w:lastRow="0" w:firstColumn="0" w:lastColumn="0" w:noHBand="0" w:noVBand="0" w:val="0020"/>
      </w:tblPr>
      <w:tblGrid>
        <w:gridCol w:w="1156"/>
        <w:gridCol w:w="533"/>
        <w:gridCol w:w="2135"/>
        <w:gridCol w:w="2135"/>
        <w:gridCol w:w="1957"/>
      </w:tblGrid>
      <w:tr>
        <w:trPr>
          <w:tblHeader w:val="on"/>
        </w:trPr>
        <w:tc>
          <w:tcPr/>
          <w:p>
            <w:pPr>
              <w:pStyle w:val="Compact"/>
              <w:jc w:val="left"/>
            </w:pPr>
            <w:r>
              <w:t xml:space="preserve">Macronutrient</w:t>
            </w:r>
          </w:p>
        </w:tc>
        <w:tc>
          <w:tcPr/>
          <w:p>
            <w:pPr>
              <w:pStyle w:val="Compact"/>
              <w:jc w:val="left"/>
            </w:pPr>
            <w:r>
              <w:t xml:space="preserve">AMDR</w:t>
            </w:r>
          </w:p>
        </w:tc>
        <w:tc>
          <w:tcPr/>
          <w:p>
            <w:pPr>
              <w:pStyle w:val="Compact"/>
              <w:jc w:val="left"/>
            </w:pPr>
            <w:r>
              <w:t xml:space="preserve">Lower Boundary Rationale</w:t>
            </w:r>
          </w:p>
        </w:tc>
        <w:tc>
          <w:tcPr/>
          <w:p>
            <w:pPr>
              <w:pStyle w:val="Compact"/>
              <w:jc w:val="left"/>
            </w:pPr>
            <w:r>
              <w:t xml:space="preserve">Upper Boundary Rationale</w:t>
            </w:r>
          </w:p>
        </w:tc>
        <w:tc>
          <w:tcPr/>
          <w:p>
            <w:pPr>
              <w:pStyle w:val="Compact"/>
              <w:jc w:val="left"/>
            </w:pPr>
            <w:r>
              <w:t xml:space="preserve">Practical Implications</w:t>
            </w:r>
          </w:p>
        </w:tc>
      </w:tr>
      <w:tr>
        <w:tc>
          <w:tcPr/>
          <w:p>
            <w:pPr>
              <w:pStyle w:val="Compact"/>
              <w:jc w:val="left"/>
            </w:pPr>
            <w:r>
              <w:rPr>
                <w:b/>
                <w:bCs/>
              </w:rPr>
              <w:t xml:space="preserve">Carbohydrate</w:t>
            </w:r>
          </w:p>
        </w:tc>
        <w:tc>
          <w:tcPr/>
          <w:p>
            <w:pPr>
              <w:pStyle w:val="Compact"/>
              <w:jc w:val="left"/>
            </w:pPr>
            <w:r>
              <w:t xml:space="preserve">45–65% of calories</w:t>
            </w:r>
          </w:p>
        </w:tc>
        <w:tc>
          <w:tcPr/>
          <w:p>
            <w:pPr>
              <w:pStyle w:val="Compact"/>
              <w:jc w:val="left"/>
            </w:pPr>
            <w:r>
              <w:t xml:space="preserve">Below 45% may compromise fiber and micronutrient intake if refined high-fat foods displace whole plant foods</w:t>
            </w:r>
          </w:p>
        </w:tc>
        <w:tc>
          <w:tcPr/>
          <w:p>
            <w:pPr>
              <w:pStyle w:val="Compact"/>
              <w:jc w:val="left"/>
            </w:pPr>
            <w:r>
              <w:t xml:space="preserve">Above 65% may limit essential fatty acid and high-quality protein consumption</w:t>
            </w:r>
          </w:p>
        </w:tc>
        <w:tc>
          <w:tcPr/>
          <w:p>
            <w:pPr>
              <w:pStyle w:val="Compact"/>
              <w:jc w:val="left"/>
            </w:pPr>
            <w:r>
              <w:t xml:space="preserve">Accommodates Mediterranean patterns at moderate end to traditional Asian diets at higher end</w:t>
            </w:r>
          </w:p>
        </w:tc>
      </w:tr>
      <w:tr>
        <w:tc>
          <w:tcPr/>
          <w:p>
            <w:pPr>
              <w:pStyle w:val="Compact"/>
              <w:jc w:val="left"/>
            </w:pPr>
            <w:r>
              <w:rPr>
                <w:b/>
                <w:bCs/>
              </w:rPr>
              <w:t xml:space="preserve">Fat</w:t>
            </w:r>
          </w:p>
        </w:tc>
        <w:tc>
          <w:tcPr/>
          <w:p>
            <w:pPr>
              <w:pStyle w:val="Compact"/>
              <w:jc w:val="left"/>
            </w:pPr>
            <w:r>
              <w:t xml:space="preserve">20–35% of calories</w:t>
            </w:r>
          </w:p>
        </w:tc>
        <w:tc>
          <w:tcPr/>
          <w:p>
            <w:pPr>
              <w:pStyle w:val="Compact"/>
              <w:jc w:val="left"/>
            </w:pPr>
            <w:r>
              <w:t xml:space="preserve">Below 20% may compromise essential fatty acid status and reduce HDL cholesterol</w:t>
            </w:r>
          </w:p>
        </w:tc>
        <w:tc>
          <w:tcPr/>
          <w:p>
            <w:pPr>
              <w:pStyle w:val="Compact"/>
              <w:jc w:val="left"/>
            </w:pPr>
            <w:r>
              <w:t xml:space="preserve">Above 35% increases risk of excessive saturated fat consumption and energy imbalance given fat’s higher caloric density</w:t>
            </w:r>
          </w:p>
        </w:tc>
        <w:tc>
          <w:tcPr/>
          <w:p>
            <w:pPr>
              <w:pStyle w:val="Compact"/>
              <w:jc w:val="left"/>
            </w:pPr>
            <w:r>
              <w:t xml:space="preserve">Emphasizes fat quality within range; Mediterranean and lower-fat DASH patterns both fit</w:t>
            </w:r>
          </w:p>
        </w:tc>
      </w:tr>
      <w:tr>
        <w:tc>
          <w:tcPr/>
          <w:p>
            <w:pPr>
              <w:pStyle w:val="Compact"/>
              <w:jc w:val="left"/>
            </w:pPr>
            <w:r>
              <w:rPr>
                <w:b/>
                <w:bCs/>
              </w:rPr>
              <w:t xml:space="preserve">Protein</w:t>
            </w:r>
          </w:p>
        </w:tc>
        <w:tc>
          <w:tcPr/>
          <w:p>
            <w:pPr>
              <w:pStyle w:val="Compact"/>
              <w:jc w:val="left"/>
            </w:pPr>
            <w:r>
              <w:t xml:space="preserve">10–35% of calories</w:t>
            </w:r>
          </w:p>
        </w:tc>
        <w:tc>
          <w:tcPr/>
          <w:p>
            <w:pPr>
              <w:pStyle w:val="Compact"/>
              <w:jc w:val="left"/>
            </w:pPr>
            <w:r>
              <w:t xml:space="preserve">10% prevents deficiency in sedentary adults (~50g on 2000 kcal diet)</w:t>
            </w:r>
          </w:p>
        </w:tc>
        <w:tc>
          <w:tcPr/>
          <w:p>
            <w:pPr>
              <w:pStyle w:val="Compact"/>
              <w:jc w:val="left"/>
            </w:pPr>
            <w:r>
              <w:t xml:space="preserve">Upper bound accommodates athletes, older adults combating sarcopenia, higher-protein weight management approaches</w:t>
            </w:r>
          </w:p>
        </w:tc>
        <w:tc>
          <w:tcPr/>
          <w:p>
            <w:pPr>
              <w:pStyle w:val="Compact"/>
              <w:jc w:val="left"/>
            </w:pPr>
            <w:r>
              <w:t xml:space="preserve">Wide range allows vegetarian patterns at lower end to paleo/keto-style patterns at upper end</w:t>
            </w:r>
          </w:p>
        </w:tc>
      </w:tr>
    </w:tbl>
    <w:p>
      <w:pPr>
        <w:pStyle w:val="a0"/>
      </w:pPr>
      <w:r>
        <w:t xml:space="preserve">The AMDR framework illustrates that</w:t>
      </w:r>
      <w:r>
        <w:t xml:space="preserve"> </w:t>
      </w:r>
      <w:r>
        <w:rPr>
          <w:b/>
          <w:bCs/>
        </w:rPr>
        <w:t xml:space="preserve">the proportion of each macronutrient influences the others</w:t>
      </w:r>
      <w:r>
        <w:t xml:space="preserve">—someone consuming a very low carbohydrate diet with just 5 to 10 percent of calories coming from carbohydrates would not only fall short of the AMDR for carbohydrate but also exceed the recommended amounts of fat and/or protein, because the rest of daily calories must come from these macronutrients</w:t>
      </w:r>
      <w:r>
        <w:t xml:space="preserve"> </w:t>
      </w:r>
      <w:hyperlink r:id="rId20">
        <w:r>
          <w:rPr>
            <w:rStyle w:val="af"/>
          </w:rPr>
          <w:t xml:space="preserve">(Medicine LibreTexts)</w:t>
        </w:r>
      </w:hyperlink>
      <w:r>
        <w:t xml:space="preserve"> </w:t>
      </w:r>
      <w:r>
        <w:t xml:space="preserve">. This interdependence underscores why extreme macronutrient restriction requires careful attention to overall dietary quality.</w:t>
      </w:r>
    </w:p>
    <w:bookmarkEnd w:id="58"/>
    <w:bookmarkStart w:id="62" w:name="application-of-dris-across-populations"/>
    <w:p>
      <w:pPr>
        <w:pStyle w:val="3"/>
      </w:pPr>
      <w:r>
        <w:t xml:space="preserve">2.3 Application of DRIs Across Populations</w:t>
      </w:r>
    </w:p>
    <w:bookmarkStart w:id="59" w:name="X2ff58fa36813d5558c4a645bb8e012604b25bf5"/>
    <w:p>
      <w:pPr>
        <w:pStyle w:val="4"/>
      </w:pPr>
      <w:r>
        <w:t xml:space="preserve">2.3.1 Age-Specific and Sex-Specific Adjustments</w:t>
      </w:r>
    </w:p>
    <w:p>
      <w:pPr>
        <w:pStyle w:val="FirstParagraph"/>
      </w:pPr>
      <w:r>
        <w:t xml:space="preserve">DRIs are specified by</w:t>
      </w:r>
      <w:r>
        <w:t xml:space="preserve"> </w:t>
      </w:r>
      <w:r>
        <w:rPr>
          <w:b/>
          <w:bCs/>
        </w:rPr>
        <w:t xml:space="preserve">life stage groups that reflect distinct physiological states</w:t>
      </w:r>
      <w:r>
        <w:t xml:space="preserve">: infancy (0–6 months, 7–12 months), childhood (1–3 years, 4–8 years), adolescence (9–13 years, 14–18 years), adulthood (19–30 years, 31–50 years), and older adulthood (51–70 years, &gt;70 years), with</w:t>
      </w:r>
      <w:r>
        <w:t xml:space="preserve"> </w:t>
      </w:r>
      <w:r>
        <w:rPr>
          <w:b/>
          <w:bCs/>
        </w:rPr>
        <w:t xml:space="preserve">sex-specific values from adolescence onward</w:t>
      </w:r>
      <w:r>
        <w:t xml:space="preserve"> </w:t>
      </w:r>
      <w:r>
        <w:t xml:space="preserve">due to differential body composition, hormonal status, and reproductive function</w:t>
      </w:r>
      <w:r>
        <w:t xml:space="preserve"> </w:t>
      </w:r>
      <w:hyperlink r:id="rId52">
        <w:r>
          <w:rPr>
            <w:rStyle w:val="af"/>
          </w:rPr>
          <w:t xml:space="preserve">(Office of Dietary Supplements (ODS))</w:t>
        </w:r>
      </w:hyperlink>
      <w:r>
        <w:t xml:space="preserve"> </w:t>
      </w:r>
      <w:r>
        <w:t xml:space="preserve">. These distinctions ensure that reference values match biological reality rather than applying adult standards inappropriately to rapidly growing children or physiologically distinct elderly.</w:t>
      </w:r>
    </w:p>
    <w:bookmarkEnd w:id="59"/>
    <w:bookmarkStart w:id="60" w:name="pregnancy-and-lactation-increments"/>
    <w:p>
      <w:pPr>
        <w:pStyle w:val="4"/>
      </w:pPr>
      <w:r>
        <w:t xml:space="preserve">2.3.2 Pregnancy and Lactation Increments</w:t>
      </w:r>
    </w:p>
    <w:p>
      <w:pPr>
        <w:pStyle w:val="FirstParagraph"/>
      </w:pPr>
      <w:r>
        <w:rPr>
          <w:b/>
          <w:bCs/>
        </w:rPr>
        <w:t xml:space="preserve">Pregnancy and lactation represent the most nutritionally demanding physiological states</w:t>
      </w:r>
      <w:r>
        <w:t xml:space="preserve">, with increased requirements across nearly all nutrients to support fetal growth, placental development, maternal tissue expansion, and subsequent milk production.</w:t>
      </w:r>
      <w:r>
        <w:t xml:space="preserve"> </w:t>
      </w:r>
      <w:r>
        <w:rPr>
          <w:b/>
          <w:bCs/>
        </w:rPr>
        <w:t xml:space="preserve">Requirements for macronutrients (proteins, carbohydrates and fats) and micronutrients are higher on a per kilogram basis during infancy and childhood than at any other developmental stage, though pregnancy imposes substantial absolute increases</w:t>
      </w:r>
      <w:r>
        <w:t xml:space="preserve"> </w:t>
      </w:r>
      <w:hyperlink r:id="rId29">
        <w:r>
          <w:rPr>
            <w:rStyle w:val="af"/>
          </w:rPr>
          <w:t xml:space="preserve">(OpenLearn)</w:t>
        </w:r>
      </w:hyperlink>
      <w:r>
        <w:t xml:space="preserve"> </w:t>
      </w:r>
      <w:r>
        <w:t xml:space="preserve">. The DRI framework provides specific values for each trimester of pregnancy and for lactation, recognizing that needs change dynamically across these periods.</w:t>
      </w:r>
    </w:p>
    <w:bookmarkEnd w:id="60"/>
    <w:bookmarkStart w:id="61" w:name="physiological-state-modifications"/>
    <w:p>
      <w:pPr>
        <w:pStyle w:val="4"/>
      </w:pPr>
      <w:r>
        <w:t xml:space="preserve">2.3.3 Physiological State Modifications</w:t>
      </w:r>
    </w:p>
    <w:p>
      <w:pPr>
        <w:pStyle w:val="FirstParagraph"/>
      </w:pPr>
      <w:r>
        <w:t xml:space="preserve">Beyond standard life stage groups, DRIs may require modification for</w:t>
      </w:r>
      <w:r>
        <w:t xml:space="preserve"> </w:t>
      </w:r>
      <w:r>
        <w:rPr>
          <w:b/>
          <w:bCs/>
        </w:rPr>
        <w:t xml:space="preserve">individuals with diseases affecting nutrient absorption, metabolism, or excretion</w:t>
      </w:r>
      <w:r>
        <w:t xml:space="preserve"> </w:t>
      </w:r>
      <w:r>
        <w:t xml:space="preserve">(celiac disease, chronic kidney disease, liver disease, cystic fibrosis), those taking</w:t>
      </w:r>
      <w:r>
        <w:t xml:space="preserve"> </w:t>
      </w:r>
      <w:r>
        <w:rPr>
          <w:b/>
          <w:bCs/>
        </w:rPr>
        <w:t xml:space="preserve">medications with nutrient interactions</w:t>
      </w:r>
      <w:r>
        <w:t xml:space="preserve"> </w:t>
      </w:r>
      <w:r>
        <w:t xml:space="preserve">(anticonvulsants affecting vitamin D metabolism, methotrexate increasing folate needs, proton pump inhibitors reducing B12 absorption), and those with</w:t>
      </w:r>
      <w:r>
        <w:t xml:space="preserve"> </w:t>
      </w:r>
      <w:r>
        <w:rPr>
          <w:b/>
          <w:bCs/>
        </w:rPr>
        <w:t xml:space="preserve">genetic polymorphisms affecting nutrient handling</w:t>
      </w:r>
      <w:r>
        <w:t xml:space="preserve"> </w:t>
      </w:r>
      <w:r>
        <w:t xml:space="preserve">(MTHFR variants altering folate requirements, hemochromatosis increasing iron absorption risk). While the DRIs are designed for healthy populations, clinical application requires individualization based on these modifying factors. The emerging field of</w:t>
      </w:r>
      <w:r>
        <w:t xml:space="preserve"> </w:t>
      </w:r>
      <w:r>
        <w:rPr>
          <w:b/>
          <w:bCs/>
        </w:rPr>
        <w:t xml:space="preserve">precision nutrition</w:t>
      </w:r>
      <w:r>
        <w:t xml:space="preserve"> </w:t>
      </w:r>
      <w:r>
        <w:t xml:space="preserve">aims to formalize these individual modifications through genetic testing, metabolomic profiling, and microbiome characterization.</w:t>
      </w:r>
    </w:p>
    <w:bookmarkEnd w:id="61"/>
    <w:bookmarkEnd w:id="62"/>
    <w:bookmarkEnd w:id="63"/>
    <w:bookmarkStart w:id="91" w:name="X89ed275f90a7e79448d4ffa4a3330dfc2d7b177"/>
    <w:p>
      <w:pPr>
        <w:pStyle w:val="2"/>
      </w:pPr>
      <w:r>
        <w:t xml:space="preserve">3. Population-Specific Nutritional Requirements</w:t>
      </w:r>
    </w:p>
    <w:bookmarkStart w:id="68" w:name="infants-and-young-children-02-years"/>
    <w:p>
      <w:pPr>
        <w:pStyle w:val="3"/>
      </w:pPr>
      <w:r>
        <w:t xml:space="preserve">3.1 Infants and Young Children (0–2 Years)</w:t>
      </w:r>
    </w:p>
    <w:bookmarkStart w:id="64" w:name="X98dfbad2c94f32de42c44023aa1ca09f62cb909"/>
    <w:p>
      <w:pPr>
        <w:pStyle w:val="4"/>
      </w:pPr>
      <w:r>
        <w:t xml:space="preserve">3.1.1 Breastfeeding versus Formula Feeding: Composition and Outcomes</w:t>
      </w:r>
    </w:p>
    <w:p>
      <w:pPr>
        <w:pStyle w:val="FirstParagraph"/>
      </w:pPr>
      <w:r>
        <w:t xml:space="preserve">The nutritional foundation established in infancy exerts</w:t>
      </w:r>
      <w:r>
        <w:t xml:space="preserve"> </w:t>
      </w:r>
      <w:r>
        <w:rPr>
          <w:b/>
          <w:bCs/>
        </w:rPr>
        <w:t xml:space="preserve">profound and lasting influences on growth trajectories, immune development, metabolic programming, and neurocognitive outcomes</w:t>
      </w:r>
      <w:r>
        <w:t xml:space="preserve">, making feeding decisions in early life among the most consequential for lifelong health. The</w:t>
      </w:r>
      <w:r>
        <w:t xml:space="preserve"> </w:t>
      </w:r>
      <w:r>
        <w:rPr>
          <w:b/>
          <w:bCs/>
        </w:rPr>
        <w:t xml:space="preserve">World Health Organization and virtually all national pediatric societies recommend exclusive breastfeeding for the first six months of life</w:t>
      </w:r>
      <w:r>
        <w:t xml:space="preserve">, with continued breastfeeding alongside appropriate complementary foods through at least two years of age</w:t>
      </w:r>
      <w:r>
        <w:t xml:space="preserve"> </w:t>
      </w:r>
      <w:hyperlink r:id="rId29">
        <w:r>
          <w:rPr>
            <w:rStyle w:val="af"/>
          </w:rPr>
          <w:t xml:space="preserve">(OpenLearn)</w:t>
        </w:r>
      </w:hyperlink>
      <w:r>
        <w:t xml:space="preserve"> </w:t>
      </w:r>
      <w:r>
        <w:t xml:space="preserve">.</w:t>
      </w:r>
    </w:p>
    <w:p>
      <w:pPr>
        <w:pStyle w:val="a0"/>
      </w:pPr>
      <w:r>
        <w:t xml:space="preserve">Human milk represents a</w:t>
      </w:r>
      <w:r>
        <w:t xml:space="preserve"> </w:t>
      </w:r>
      <w:r>
        <w:rPr>
          <w:b/>
          <w:bCs/>
        </w:rPr>
        <w:t xml:space="preserve">remarkably complex biological fluid</w:t>
      </w:r>
      <w:r>
        <w:t xml:space="preserve"> </w:t>
      </w:r>
      <w:r>
        <w:t xml:space="preserve">containing not only optimal proportions of macronutrients—approximately</w:t>
      </w:r>
      <w:r>
        <w:t xml:space="preserve"> </w:t>
      </w:r>
      <w:r>
        <w:rPr>
          <w:b/>
          <w:bCs/>
        </w:rPr>
        <w:t xml:space="preserve">87% water, 7% lactose, 4% fat, 1% protein</w:t>
      </w:r>
      <w:r>
        <w:t xml:space="preserve">—that evolve across lactation stages to match infant needs, but also</w:t>
      </w:r>
      <w:r>
        <w:t xml:space="preserve"> </w:t>
      </w:r>
      <w:r>
        <w:rPr>
          <w:b/>
          <w:bCs/>
        </w:rPr>
        <w:t xml:space="preserve">bioactive components including secretory IgA, lactoferrin, oligosaccharides, growth factors, and live maternal immune cells</w:t>
      </w:r>
      <w:r>
        <w:t xml:space="preserve"> </w:t>
      </w:r>
      <w:r>
        <w:t xml:space="preserve">that confer protection against infections, modulate immune tolerance, and support gut microbiome establishment. The protein content of human milk (0.9–1.2 g/100 mL) is lower than in most mammalian milks but features</w:t>
      </w:r>
      <w:r>
        <w:t xml:space="preserve"> </w:t>
      </w:r>
      <w:r>
        <w:rPr>
          <w:b/>
          <w:bCs/>
        </w:rPr>
        <w:t xml:space="preserve">whey-predominant proteins with high bioavailability and reduced renal solute load</w:t>
      </w:r>
      <w:r>
        <w:t xml:space="preserve">, while the fat composition adapts dynamically during single feedings (hindmilk containing 2–3 times the fat of foremilk) and across lactation to support rapid brain growth through provision of cholesterol, long-chain polyunsaturated fatty acids (DHA, arachidonic acid), and fat-soluble vitamins.</w:t>
      </w:r>
    </w:p>
    <w:p>
      <w:pPr>
        <w:pStyle w:val="a0"/>
      </w:pPr>
      <w:r>
        <w:t xml:space="preserve">Breastfeeding is</w:t>
      </w:r>
      <w:r>
        <w:t xml:space="preserve"> </w:t>
      </w:r>
      <w:r>
        <w:rPr>
          <w:b/>
          <w:bCs/>
        </w:rPr>
        <w:t xml:space="preserve">associated with reduced risk for obesity, a wide range of allergies, hypertension, and type 1 diabetes. It is also linked with improved cognitive development; and with decreased incidence and severity of infections. It is also less costly than formula feeding</w:t>
      </w:r>
      <w:r>
        <w:t xml:space="preserve"> </w:t>
      </w:r>
      <w:hyperlink r:id="rId29">
        <w:r>
          <w:rPr>
            <w:rStyle w:val="af"/>
          </w:rPr>
          <w:t xml:space="preserve">(OpenLearn)</w:t>
        </w:r>
      </w:hyperlink>
      <w:r>
        <w:t xml:space="preserve"> </w:t>
      </w:r>
      <w:r>
        <w:t xml:space="preserve">. These associations are supported by systematic reviews and meta-analyses, though with acknowledgment that</w:t>
      </w:r>
      <w:r>
        <w:t xml:space="preserve"> </w:t>
      </w:r>
      <w:r>
        <w:rPr>
          <w:b/>
          <w:bCs/>
        </w:rPr>
        <w:t xml:space="preserve">confounding by socioeconomic and behavioral factors partially explains observed benefits</w:t>
      </w:r>
      <w:r>
        <w:t xml:space="preserve">. Infant formula, while unable to replicate the full biological complexity of human milk, provides a nutritionally adequate alternative when breastfeeding is contraindicated (maternal HIV infection without antiretroviral therapy, certain medications, galactosemia) or not achievable. Modern formulas are based on modified cow’s milk protein or soy protein isolates, with vegetable oils substituting for milk fat to achieve fatty acid profiles approximating human milk, and added lactose or corn syrup solids as carbohydrate sources.</w:t>
      </w:r>
    </w:p>
    <w:bookmarkEnd w:id="64"/>
    <w:bookmarkStart w:id="65" w:name="X08402dc77ae93e6c3766eb7b3185bd34bc7aa69"/>
    <w:p>
      <w:pPr>
        <w:pStyle w:val="4"/>
      </w:pPr>
      <w:r>
        <w:t xml:space="preserve">3.1.2 Energy Density Requirements: 100+ kcal/kg in Infancy</w:t>
      </w:r>
    </w:p>
    <w:p>
      <w:pPr>
        <w:pStyle w:val="FirstParagraph"/>
      </w:pPr>
      <w:r>
        <w:t xml:space="preserve">Infant energy requirements</w:t>
      </w:r>
      <w:r>
        <w:t xml:space="preserve"> </w:t>
      </w:r>
      <w:r>
        <w:rPr>
          <w:b/>
          <w:bCs/>
        </w:rPr>
        <w:t xml:space="preserve">substantially exceed adult values on a body weight basis</w:t>
      </w:r>
      <w:r>
        <w:t xml:space="preserve"> </w:t>
      </w:r>
      <w:r>
        <w:t xml:space="preserve">due to high metabolic rate, thermoregulation needs, and rapid growth. While most adults require 25–30 calories per kg,</w:t>
      </w:r>
      <w:r>
        <w:t xml:space="preserve"> </w:t>
      </w:r>
      <w:r>
        <w:rPr>
          <w:b/>
          <w:bCs/>
        </w:rPr>
        <w:t xml:space="preserve">a 4 kg infant requires more than 100 kilocalories per kg (430 calories/day)</w:t>
      </w:r>
      <w:r>
        <w:t xml:space="preserve">. Infants of four to six months who weigh 6 kg require roughly</w:t>
      </w:r>
      <w:r>
        <w:t xml:space="preserve"> </w:t>
      </w:r>
      <w:r>
        <w:rPr>
          <w:b/>
          <w:bCs/>
        </w:rPr>
        <w:t xml:space="preserve">82 kilocalories per kg (490 calories/day)</w:t>
      </w:r>
      <w:r>
        <w:t xml:space="preserve">. Energy needs remain high through the early formative years.</w:t>
      </w:r>
      <w:r>
        <w:t xml:space="preserve"> </w:t>
      </w:r>
      <w:r>
        <w:rPr>
          <w:b/>
          <w:bCs/>
        </w:rPr>
        <w:t xml:space="preserve">Children of one to three years require approximately 83 kilocalories per kg (990 calories/day)</w:t>
      </w:r>
      <w:r>
        <w:t xml:space="preserve"> </w:t>
      </w:r>
      <w:hyperlink r:id="rId29">
        <w:r>
          <w:rPr>
            <w:rStyle w:val="af"/>
          </w:rPr>
          <w:t xml:space="preserve">(OpenLearn)</w:t>
        </w:r>
      </w:hyperlink>
      <w:r>
        <w:t xml:space="preserve"> </w:t>
      </w:r>
      <w:r>
        <w:t xml:space="preserve">. These elevated requirements reflect the</w:t>
      </w:r>
      <w:r>
        <w:t xml:space="preserve"> </w:t>
      </w:r>
      <w:r>
        <w:rPr>
          <w:b/>
          <w:bCs/>
        </w:rPr>
        <w:t xml:space="preserve">energy cost of growth</w:t>
      </w:r>
      <w:r>
        <w:t xml:space="preserve"> </w:t>
      </w:r>
      <w:r>
        <w:t xml:space="preserve">(approximately 35% of energy intake in early infancy, declining to 1–2% by age 2), organ development, and establishing metabolic reserves.</w:t>
      </w:r>
    </w:p>
    <w:p>
      <w:pPr>
        <w:pStyle w:val="a0"/>
      </w:pPr>
      <w:r>
        <w:t xml:space="preserve">The</w:t>
      </w:r>
      <w:r>
        <w:t xml:space="preserve"> </w:t>
      </w:r>
      <w:r>
        <w:rPr>
          <w:b/>
          <w:bCs/>
        </w:rPr>
        <w:t xml:space="preserve">nutrient density of infant foods</w:t>
      </w:r>
      <w:r>
        <w:t xml:space="preserve">—nutrients per unit energy—must be substantially higher than for adults to meet requirements within limited gastric capacity. Newborns typically have stomach volumes of</w:t>
      </w:r>
      <w:r>
        <w:t xml:space="preserve"> </w:t>
      </w:r>
      <w:r>
        <w:rPr>
          <w:b/>
          <w:bCs/>
        </w:rPr>
        <w:t xml:space="preserve">30–90 mL</w:t>
      </w:r>
      <w:r>
        <w:t xml:space="preserve">, expanding to</w:t>
      </w:r>
      <w:r>
        <w:t xml:space="preserve"> </w:t>
      </w:r>
      <w:r>
        <w:rPr>
          <w:b/>
          <w:bCs/>
        </w:rPr>
        <w:t xml:space="preserve">200–240 mL by 6 months</w:t>
      </w:r>
      <w:r>
        <w:t xml:space="preserve">, necessitating frequent feedings (8–12 times daily in early infancy) to achieve cumulative energy and nutrient needs. This physiological constraint explains why</w:t>
      </w:r>
      <w:r>
        <w:t xml:space="preserve"> </w:t>
      </w:r>
      <w:r>
        <w:rPr>
          <w:b/>
          <w:bCs/>
        </w:rPr>
        <w:t xml:space="preserve">energy-dilute foods (excessive water, juice) are inappropriate for infants</w:t>
      </w:r>
      <w:r>
        <w:t xml:space="preserve"> </w:t>
      </w:r>
      <w:r>
        <w:t xml:space="preserve">and can lead to growth faltering if they displace nutrient-rich milk or formula.</w:t>
      </w:r>
    </w:p>
    <w:bookmarkEnd w:id="65"/>
    <w:bookmarkStart w:id="66" w:name="Xb89aeb4206db96cc8ca8af69a78090f9f3d82e5"/>
    <w:p>
      <w:pPr>
        <w:pStyle w:val="4"/>
      </w:pPr>
      <w:r>
        <w:t xml:space="preserve">3.1.3 Critical Nutrients: Iron, Zinc, Vitamin D, and DHA</w:t>
      </w:r>
    </w:p>
    <w:p>
      <w:pPr>
        <w:pStyle w:val="FirstParagraph"/>
      </w:pPr>
      <w:r>
        <w:t xml:space="preserve">Several nutrients require particular attention in infancy due to</w:t>
      </w:r>
      <w:r>
        <w:t xml:space="preserve"> </w:t>
      </w:r>
      <w:r>
        <w:rPr>
          <w:b/>
          <w:bCs/>
        </w:rPr>
        <w:t xml:space="preserve">limited stores, rapid growth demands, or marginal content in breast milk</w:t>
      </w:r>
      <w:r>
        <w:t xml:space="preserve">:</w:t>
      </w:r>
    </w:p>
    <w:tbl>
      <w:tblPr>
        <w:tblStyle w:val="Table"/>
        <w:tblW w:type="pct" w:w="5000"/>
        <w:jc w:val="left"/>
        <w:tblLayout w:type="fixed"/>
        <w:tblLook w:firstRow="1" w:lastRow="0" w:firstColumn="0" w:lastColumn="0" w:noHBand="0" w:noVBand="0" w:val="0020"/>
      </w:tblPr>
      <w:tblGrid>
        <w:gridCol w:w="1018"/>
        <w:gridCol w:w="2036"/>
        <w:gridCol w:w="2376"/>
        <w:gridCol w:w="2489"/>
      </w:tblGrid>
      <w:tr>
        <w:trPr>
          <w:tblHeader w:val="on"/>
        </w:trPr>
        <w:tc>
          <w:tcPr/>
          <w:p>
            <w:pPr>
              <w:pStyle w:val="Compact"/>
              <w:jc w:val="left"/>
            </w:pPr>
            <w:r>
              <w:t xml:space="preserve">Nutrient</w:t>
            </w:r>
          </w:p>
        </w:tc>
        <w:tc>
          <w:tcPr/>
          <w:p>
            <w:pPr>
              <w:pStyle w:val="Compact"/>
              <w:jc w:val="left"/>
            </w:pPr>
            <w:r>
              <w:t xml:space="preserve">Timing of Concern</w:t>
            </w:r>
          </w:p>
        </w:tc>
        <w:tc>
          <w:tcPr/>
          <w:p>
            <w:pPr>
              <w:pStyle w:val="Compact"/>
              <w:jc w:val="left"/>
            </w:pPr>
            <w:r>
              <w:t xml:space="preserve">Physiological Basis</w:t>
            </w:r>
          </w:p>
        </w:tc>
        <w:tc>
          <w:tcPr/>
          <w:p>
            <w:pPr>
              <w:pStyle w:val="Compact"/>
              <w:jc w:val="left"/>
            </w:pPr>
            <w:r>
              <w:t xml:space="preserve">Intervention Strategy</w:t>
            </w:r>
          </w:p>
        </w:tc>
      </w:tr>
      <w:tr>
        <w:tc>
          <w:tcPr/>
          <w:p>
            <w:pPr>
              <w:pStyle w:val="Compact"/>
              <w:jc w:val="left"/>
            </w:pPr>
            <w:r>
              <w:rPr>
                <w:b/>
                <w:bCs/>
              </w:rPr>
              <w:t xml:space="preserve">Iron</w:t>
            </w:r>
          </w:p>
        </w:tc>
        <w:tc>
          <w:tcPr/>
          <w:p>
            <w:pPr>
              <w:pStyle w:val="Compact"/>
              <w:jc w:val="left"/>
            </w:pPr>
            <w:r>
              <w:t xml:space="preserve">4–6 months onward</w:t>
            </w:r>
          </w:p>
        </w:tc>
        <w:tc>
          <w:tcPr/>
          <w:p>
            <w:pPr>
              <w:pStyle w:val="Compact"/>
              <w:jc w:val="left"/>
            </w:pPr>
            <w:r>
              <w:t xml:space="preserve">Hepatic stores from birth (75 mg/kg) depleted by 4–6 months; breast milk iron low (0.3 mg/L)</w:t>
            </w:r>
          </w:p>
        </w:tc>
        <w:tc>
          <w:tcPr/>
          <w:p>
            <w:pPr>
              <w:pStyle w:val="Compact"/>
              <w:jc w:val="left"/>
            </w:pPr>
            <w:r>
              <w:t xml:space="preserve">Iron supplementation (1 mg/kg/day) for exclusively breastfed infants from 4 months; iron-rich complementary foods</w:t>
            </w:r>
          </w:p>
        </w:tc>
      </w:tr>
      <w:tr>
        <w:tc>
          <w:tcPr/>
          <w:p>
            <w:pPr>
              <w:pStyle w:val="Compact"/>
              <w:jc w:val="left"/>
            </w:pPr>
            <w:r>
              <w:rPr>
                <w:b/>
                <w:bCs/>
              </w:rPr>
              <w:t xml:space="preserve">Zinc</w:t>
            </w:r>
          </w:p>
        </w:tc>
        <w:tc>
          <w:tcPr/>
          <w:p>
            <w:pPr>
              <w:pStyle w:val="Compact"/>
              <w:jc w:val="left"/>
            </w:pPr>
            <w:r>
              <w:t xml:space="preserve">6 months onward</w:t>
            </w:r>
          </w:p>
        </w:tc>
        <w:tc>
          <w:tcPr/>
          <w:p>
            <w:pPr>
              <w:pStyle w:val="Compact"/>
              <w:jc w:val="left"/>
            </w:pPr>
            <w:r>
              <w:t xml:space="preserve">Breast milk zinc declines across lactation; plant-based complementary foods have lower bioavailability</w:t>
            </w:r>
          </w:p>
        </w:tc>
        <w:tc>
          <w:tcPr/>
          <w:p>
            <w:pPr>
              <w:pStyle w:val="Compact"/>
              <w:jc w:val="left"/>
            </w:pPr>
            <w:r>
              <w:t xml:space="preserve">Zinc-rich complementary foods (meat, fortified cereals); supplementation if dietary intake inadequate</w:t>
            </w:r>
          </w:p>
        </w:tc>
      </w:tr>
      <w:tr>
        <w:tc>
          <w:tcPr/>
          <w:p>
            <w:pPr>
              <w:pStyle w:val="Compact"/>
              <w:jc w:val="left"/>
            </w:pPr>
            <w:r>
              <w:rPr>
                <w:b/>
                <w:bCs/>
              </w:rPr>
              <w:t xml:space="preserve">Vitamin D</w:t>
            </w:r>
          </w:p>
        </w:tc>
        <w:tc>
          <w:tcPr/>
          <w:p>
            <w:pPr>
              <w:pStyle w:val="Compact"/>
              <w:jc w:val="left"/>
            </w:pPr>
            <w:r>
              <w:t xml:space="preserve">Birth onward</w:t>
            </w:r>
          </w:p>
        </w:tc>
        <w:tc>
          <w:tcPr/>
          <w:p>
            <w:pPr>
              <w:pStyle w:val="Compact"/>
              <w:jc w:val="left"/>
            </w:pPr>
            <w:r>
              <w:t xml:space="preserve">Breast milk vitamin D low (20–60 IU/L) and dependent on maternal status; limited sun exposure recommended</w:t>
            </w:r>
          </w:p>
        </w:tc>
        <w:tc>
          <w:tcPr/>
          <w:p>
            <w:pPr>
              <w:pStyle w:val="Compact"/>
              <w:jc w:val="left"/>
            </w:pPr>
            <w:r>
              <w:t xml:space="preserve">400 IU (10 micrograms) daily supplementation for all breastfed infants from first days of life</w:t>
            </w:r>
          </w:p>
        </w:tc>
      </w:tr>
      <w:tr>
        <w:tc>
          <w:tcPr/>
          <w:p>
            <w:pPr>
              <w:pStyle w:val="Compact"/>
              <w:jc w:val="left"/>
            </w:pPr>
            <w:r>
              <w:rPr>
                <w:b/>
                <w:bCs/>
              </w:rPr>
              <w:t xml:space="preserve">DHA</w:t>
            </w:r>
          </w:p>
        </w:tc>
        <w:tc>
          <w:tcPr/>
          <w:p>
            <w:pPr>
              <w:pStyle w:val="Compact"/>
              <w:jc w:val="left"/>
            </w:pPr>
            <w:r>
              <w:t xml:space="preserve">Throughout infancy</w:t>
            </w:r>
          </w:p>
        </w:tc>
        <w:tc>
          <w:tcPr/>
          <w:p>
            <w:pPr>
              <w:pStyle w:val="Compact"/>
              <w:jc w:val="left"/>
            </w:pPr>
            <w:r>
              <w:t xml:space="preserve">Rapid brain DHA accumulation during late fetal and early postnatal development; breast milk content varies with maternal intake</w:t>
            </w:r>
          </w:p>
        </w:tc>
        <w:tc>
          <w:tcPr/>
          <w:p>
            <w:pPr>
              <w:pStyle w:val="Compact"/>
              <w:jc w:val="left"/>
            </w:pPr>
            <w:r>
              <w:t xml:space="preserve">Maternal DHA supplementation during pregnancy/lactation; DHA-supplemented formula if not breastfed</w:t>
            </w:r>
          </w:p>
        </w:tc>
      </w:tr>
    </w:tbl>
    <w:p>
      <w:pPr>
        <w:pStyle w:val="a0"/>
      </w:pPr>
      <w:r>
        <w:rPr>
          <w:b/>
          <w:bCs/>
        </w:rPr>
        <w:t xml:space="preserve">Iron deficiency remains the most common nutritional deficiency in young children worldwide</w:t>
      </w:r>
      <w:r>
        <w:t xml:space="preserve">, with exclusively breastfed infants beyond six months without iron-rich complementary foods or supplementation at highest risk. The American Academy of Pediatrics recommends</w:t>
      </w:r>
      <w:r>
        <w:t xml:space="preserve"> </w:t>
      </w:r>
      <w:r>
        <w:rPr>
          <w:b/>
          <w:bCs/>
        </w:rPr>
        <w:t xml:space="preserve">iron supplementation (1 mg/kg/day) for exclusively breastfed infants beginning at 4 months</w:t>
      </w:r>
      <w:r>
        <w:t xml:space="preserve"> </w:t>
      </w:r>
      <w:r>
        <w:t xml:space="preserve">until iron-rich foods are established in the diet.</w:t>
      </w:r>
      <w:r>
        <w:t xml:space="preserve"> </w:t>
      </w:r>
      <w:r>
        <w:rPr>
          <w:b/>
          <w:bCs/>
        </w:rPr>
        <w:t xml:space="preserve">Vitamin D supplementation of 400 IU daily is recommended for all breastfed infants from the first days of life</w:t>
      </w:r>
      <w:r>
        <w:t xml:space="preserve"> </w:t>
      </w:r>
      <w:r>
        <w:t xml:space="preserve">until consumption of 1 liter daily of vitamin D-fortified formula or milk, due to low breast milk content and limited sun exposure recommendations for infants.</w:t>
      </w:r>
    </w:p>
    <w:bookmarkEnd w:id="66"/>
    <w:bookmarkStart w:id="67" w:name="Xb3e582763ec01b8c31a0a31a07a7946fcab4999"/>
    <w:p>
      <w:pPr>
        <w:pStyle w:val="4"/>
      </w:pPr>
      <w:r>
        <w:t xml:space="preserve">3.1.4 Introduction of Complementary Foods and Allergen Exposure</w:t>
      </w:r>
    </w:p>
    <w:p>
      <w:pPr>
        <w:pStyle w:val="FirstParagraph"/>
      </w:pPr>
      <w:r>
        <w:t xml:space="preserve">The transition from exclusive milk feeding to family foods—</w:t>
      </w:r>
      <w:r>
        <w:rPr>
          <w:b/>
          <w:bCs/>
        </w:rPr>
        <w:t xml:space="preserve">complementary feeding</w:t>
      </w:r>
      <w:r>
        <w:t xml:space="preserve">—represents a critical developmental period with implications for nutritional adequacy, oral motor development, eating behavior establishment, and</w:t>
      </w:r>
      <w:r>
        <w:t xml:space="preserve"> </w:t>
      </w:r>
      <w:r>
        <w:rPr>
          <w:b/>
          <w:bCs/>
        </w:rPr>
        <w:t xml:space="preserve">immune tolerance programming</w:t>
      </w:r>
      <w:r>
        <w:t xml:space="preserve">. Current guidelines recommend initiating complementary foods at</w:t>
      </w:r>
      <w:r>
        <w:t xml:space="preserve"> </w:t>
      </w:r>
      <w:r>
        <w:rPr>
          <w:b/>
          <w:bCs/>
        </w:rPr>
        <w:t xml:space="preserve">approximately 6 months of age</w:t>
      </w:r>
      <w:r>
        <w:t xml:space="preserve"> </w:t>
      </w:r>
      <w:r>
        <w:t xml:space="preserve">when infants demonstrate developmental readiness: good head control, ability to sit with support, diminished tongue-thrust reflex, and interest in food.</w:t>
      </w:r>
    </w:p>
    <w:p>
      <w:pPr>
        <w:pStyle w:val="a0"/>
      </w:pPr>
      <w:r>
        <w:t xml:space="preserve">The traditional approach of introducing single-ingredient purees sequentially has evolved toward more flexible methods including</w:t>
      </w:r>
      <w:r>
        <w:t xml:space="preserve"> </w:t>
      </w:r>
      <w:r>
        <w:rPr>
          <w:b/>
          <w:bCs/>
        </w:rPr>
        <w:t xml:space="preserve">baby-led weaning</w:t>
      </w:r>
      <w:r>
        <w:t xml:space="preserve"> </w:t>
      </w:r>
      <w:r>
        <w:t xml:space="preserve">(offering appropriately textured finger foods for self-feeding) and hybrid approaches, with evidence suggesting comparable nutritional outcomes when parental education ensures appropriate food selection and choking prevention.</w:t>
      </w:r>
      <w:r>
        <w:t xml:space="preserve"> </w:t>
      </w:r>
      <w:r>
        <w:rPr>
          <w:b/>
          <w:bCs/>
        </w:rPr>
        <w:t xml:space="preserve">Historically, allergenic foods (peanuts, tree nuts, eggs, fish, wheat, soy, dairy, sesame) were delayed until 1–3 years of age</w:t>
      </w:r>
      <w:r>
        <w:t xml:space="preserve"> </w:t>
      </w:r>
      <w:r>
        <w:t xml:space="preserve">based on theoretical concerns about immature gut barrier function and sensitization. However,</w:t>
      </w:r>
      <w:r>
        <w:t xml:space="preserve"> </w:t>
      </w:r>
      <w:r>
        <w:rPr>
          <w:b/>
          <w:bCs/>
        </w:rPr>
        <w:t xml:space="preserve">landmark studies including the LEAP (Learning Early About Peanut Allergy) trial demonstrated that early peanut introduction (4–11 months) in high-risk infants reduced peanut allergy prevalence by 80% compared with avoidance</w:t>
      </w:r>
      <w:r>
        <w:t xml:space="preserve">, fundamentally reversing recommendations. Current guidance now advocates for</w:t>
      </w:r>
      <w:r>
        <w:t xml:space="preserve"> </w:t>
      </w:r>
      <w:r>
        <w:rPr>
          <w:b/>
          <w:bCs/>
        </w:rPr>
        <w:t xml:space="preserve">early introduction of allergenic foods—once other complementary foods are tolerated—rather than delay</w:t>
      </w:r>
      <w:r>
        <w:t xml:space="preserve">, with particular emphasis on peanut and egg as the most evidence-supported for allergy prevention. This paradigm shift exemplifies how nutritional science evolves with emerging evidence and underscores the importance of</w:t>
      </w:r>
      <w:r>
        <w:t xml:space="preserve"> </w:t>
      </w:r>
      <w:r>
        <w:rPr>
          <w:b/>
          <w:bCs/>
        </w:rPr>
        <w:t xml:space="preserve">updating recommendations based on rigorous randomized controlled trials rather than theoretical concerns alone</w:t>
      </w:r>
      <w:r>
        <w:t xml:space="preserve">.</w:t>
      </w:r>
    </w:p>
    <w:bookmarkEnd w:id="67"/>
    <w:bookmarkEnd w:id="68"/>
    <w:bookmarkStart w:id="73" w:name="children-and-adolescents-218-years"/>
    <w:p>
      <w:pPr>
        <w:pStyle w:val="3"/>
      </w:pPr>
      <w:r>
        <w:t xml:space="preserve">3.2 Children and Adolescents (2–18 Years)</w:t>
      </w:r>
    </w:p>
    <w:bookmarkStart w:id="69" w:name="growth-velocity-and-pubertal-demands"/>
    <w:p>
      <w:pPr>
        <w:pStyle w:val="4"/>
      </w:pPr>
      <w:r>
        <w:t xml:space="preserve">3.2.1 Growth Velocity and Pubertal Demands</w:t>
      </w:r>
    </w:p>
    <w:p>
      <w:pPr>
        <w:pStyle w:val="FirstParagraph"/>
      </w:pPr>
      <w:r>
        <w:t xml:space="preserve">Childhood and adolescence encompass the</w:t>
      </w:r>
      <w:r>
        <w:t xml:space="preserve"> </w:t>
      </w:r>
      <w:r>
        <w:rPr>
          <w:b/>
          <w:bCs/>
        </w:rPr>
        <w:t xml:space="preserve">most dynamic periods of postnatal growth</w:t>
      </w:r>
      <w:r>
        <w:t xml:space="preserve">, with nutritional requirements scaling to support somatic growth, organ development, and the profound metabolic and hormonal changes of puberty. The</w:t>
      </w:r>
      <w:r>
        <w:t xml:space="preserve"> </w:t>
      </w:r>
      <w:r>
        <w:rPr>
          <w:b/>
          <w:bCs/>
        </w:rPr>
        <w:t xml:space="preserve">common feature of infancy, childhood and adolescence is that all these age groups are undergoing rapid growth and development. This in turn poses a heavy demand on their nutritional requirements</w:t>
      </w:r>
      <w:r>
        <w:t xml:space="preserve"> </w:t>
      </w:r>
      <w:hyperlink r:id="rId29">
        <w:r>
          <w:rPr>
            <w:rStyle w:val="af"/>
          </w:rPr>
          <w:t xml:space="preserve">(OpenLearn)</w:t>
        </w:r>
      </w:hyperlink>
      <w:r>
        <w:t xml:space="preserve"> </w:t>
      </w:r>
      <w:r>
        <w:t xml:space="preserve">. Small children and infants do not have a well developed body nutrient store, and therefore are more vulnerable to infection. In addition they have a larger surface area compared to their body size. All these factors increase their basal metabolic rate (BMR), resulting in an increased requirement for nutrients</w:t>
      </w:r>
      <w:r>
        <w:t xml:space="preserve"> </w:t>
      </w:r>
      <w:hyperlink r:id="rId29">
        <w:r>
          <w:rPr>
            <w:rStyle w:val="af"/>
          </w:rPr>
          <w:t xml:space="preserve">(OpenLearn)</w:t>
        </w:r>
      </w:hyperlink>
      <w:r>
        <w:t xml:space="preserve"> </w:t>
      </w:r>
      <w:r>
        <w:t xml:space="preserve">.</w:t>
      </w:r>
    </w:p>
    <w:p>
      <w:pPr>
        <w:pStyle w:val="a0"/>
      </w:pPr>
      <w:r>
        <w:t xml:space="preserve">The</w:t>
      </w:r>
      <w:r>
        <w:t xml:space="preserve"> </w:t>
      </w:r>
      <w:r>
        <w:rPr>
          <w:b/>
          <w:bCs/>
        </w:rPr>
        <w:t xml:space="preserve">childhood growth velocity decelerates from the rapid pace of infancy to a relatively steady 5–7 cm/year</w:t>
      </w:r>
      <w:r>
        <w:t xml:space="preserve"> </w:t>
      </w:r>
      <w:r>
        <w:t xml:space="preserve">until the pubertal growth spurt, when sex steroid and growth hormone synergism accelerates growth to</w:t>
      </w:r>
      <w:r>
        <w:t xml:space="preserve"> </w:t>
      </w:r>
      <w:r>
        <w:rPr>
          <w:b/>
          <w:bCs/>
        </w:rPr>
        <w:t xml:space="preserve">8–12 cm/year in girls (typically ages 10–13) and 10–14 cm/year in boys (typically ages 12–15)</w:t>
      </w:r>
      <w:r>
        <w:t xml:space="preserve">. This growth acceleration increases energy requirements substantially, with</w:t>
      </w:r>
      <w:r>
        <w:t xml:space="preserve"> </w:t>
      </w:r>
      <w:r>
        <w:rPr>
          <w:b/>
          <w:bCs/>
        </w:rPr>
        <w:t xml:space="preserve">adolescent boys requiring 2,200–3,200 kcal/day and girls 1,800–2,400 kcal/day</w:t>
      </w:r>
      <w:r>
        <w:t xml:space="preserve"> </w:t>
      </w:r>
      <w:r>
        <w:t xml:space="preserve">depending on age, body size, and physical activity level. The pubertal growth spurt accounts for</w:t>
      </w:r>
      <w:r>
        <w:t xml:space="preserve"> </w:t>
      </w:r>
      <w:r>
        <w:rPr>
          <w:b/>
          <w:bCs/>
        </w:rPr>
        <w:t xml:space="preserve">approximately 15–25% of final adult height</w:t>
      </w:r>
      <w:r>
        <w:t xml:space="preserve"> </w:t>
      </w:r>
      <w:r>
        <w:t xml:space="preserve">and requires substantial nutrient investment, particularly in</w:t>
      </w:r>
      <w:r>
        <w:t xml:space="preserve"> </w:t>
      </w:r>
      <w:r>
        <w:rPr>
          <w:b/>
          <w:bCs/>
        </w:rPr>
        <w:t xml:space="preserve">protein (0.85 g/kg/day, higher than adult requirements), calcium for bone elongation, and iron to support expanding blood volume and, in girls, the onset of menstruation</w:t>
      </w:r>
      <w:r>
        <w:t xml:space="preserve">.</w:t>
      </w:r>
    </w:p>
    <w:p>
      <w:pPr>
        <w:pStyle w:val="a0"/>
      </w:pPr>
      <w:r>
        <w:t xml:space="preserve">Adolescents undergo a very rapid growth during their puberty (called the pubertal growth spurt). During the pubertal growth spurt, they increase rapidly both in weight and height. Therefore, they need a nutrient intake that is proportional with their rate of growth. The growth rate is very high right after birth (infancy). Then the growth rate slows down until the age of 12–14 years.</w:t>
      </w:r>
      <w:r>
        <w:t xml:space="preserve"> </w:t>
      </w:r>
      <w:r>
        <w:rPr>
          <w:b/>
          <w:bCs/>
        </w:rPr>
        <w:t xml:space="preserve">At about 15–16 years (the pubertal period) there is a sharp rise in growth rate/velocity. After that, the growth rate slows down again</w:t>
      </w:r>
      <w:r>
        <w:t xml:space="preserve"> </w:t>
      </w:r>
      <w:hyperlink r:id="rId29">
        <w:r>
          <w:rPr>
            <w:rStyle w:val="af"/>
          </w:rPr>
          <w:t xml:space="preserve">(OpenLearn)</w:t>
        </w:r>
      </w:hyperlink>
      <w:r>
        <w:t xml:space="preserve"> </w:t>
      </w:r>
      <w:r>
        <w:t xml:space="preserve">. Requirements for macronutrients (proteins, carbohydrates and fats) and micronutrients are higher on a per kilogram basis during infancy and childhood than at any other developmental stage. These needs are influenced by the rapid cell division occurring during growth, which requires protein, energy and fat</w:t>
      </w:r>
      <w:r>
        <w:t xml:space="preserve"> </w:t>
      </w:r>
      <w:hyperlink r:id="rId29">
        <w:r>
          <w:rPr>
            <w:rStyle w:val="af"/>
          </w:rPr>
          <w:t xml:space="preserve">(OpenLearn)</w:t>
        </w:r>
      </w:hyperlink>
      <w:r>
        <w:t xml:space="preserve"> </w:t>
      </w:r>
      <w:r>
        <w:t xml:space="preserve">.</w:t>
      </w:r>
    </w:p>
    <w:bookmarkEnd w:id="69"/>
    <w:bookmarkStart w:id="70" w:name="Xa7f038f9627b86711c2996227ed58008fe97e03"/>
    <w:p>
      <w:pPr>
        <w:pStyle w:val="4"/>
      </w:pPr>
      <w:r>
        <w:t xml:space="preserve">3.2.2 Peak Bone Mass Accretion: Calcium, Phosphorus, and Exercise Interaction</w:t>
      </w:r>
    </w:p>
    <w:p>
      <w:pPr>
        <w:pStyle w:val="FirstParagraph"/>
      </w:pPr>
      <w:r>
        <w:t xml:space="preserve">Adolescence represents the</w:t>
      </w:r>
      <w:r>
        <w:t xml:space="preserve"> </w:t>
      </w:r>
      <w:r>
        <w:rPr>
          <w:b/>
          <w:bCs/>
        </w:rPr>
        <w:t xml:space="preserve">critical window for peak bone mass accretion</w:t>
      </w:r>
      <w:r>
        <w:t xml:space="preserve">, with approximately</w:t>
      </w:r>
      <w:r>
        <w:t xml:space="preserve"> </w:t>
      </w:r>
      <w:r>
        <w:rPr>
          <w:b/>
          <w:bCs/>
        </w:rPr>
        <w:t xml:space="preserve">40% of total lifetime bone mineral accumulated during the adolescent growth spurt</w:t>
      </w:r>
      <w:r>
        <w:t xml:space="preserve">. Higher intakes of protein and energy for growth are recommended for adolescents. For most micronutrients, recommendations are the same as for adults. Exceptions are made for</w:t>
      </w:r>
      <w:r>
        <w:t xml:space="preserve"> </w:t>
      </w:r>
      <w:r>
        <w:rPr>
          <w:b/>
          <w:bCs/>
        </w:rPr>
        <w:t xml:space="preserve">certain minerals needed for bone growth (e.g. calcium and phosphorus)</w:t>
      </w:r>
      <w:r>
        <w:t xml:space="preserve"> </w:t>
      </w:r>
      <w:hyperlink r:id="rId29">
        <w:r>
          <w:rPr>
            <w:rStyle w:val="af"/>
          </w:rPr>
          <w:t xml:space="preserve">(OpenLearn)</w:t>
        </w:r>
      </w:hyperlink>
      <w:r>
        <w:t xml:space="preserve"> </w:t>
      </w:r>
      <w:r>
        <w:t xml:space="preserve">. The</w:t>
      </w:r>
      <w:r>
        <w:t xml:space="preserve"> </w:t>
      </w:r>
      <w:r>
        <w:rPr>
          <w:b/>
          <w:bCs/>
        </w:rPr>
        <w:t xml:space="preserve">RDA for calcium peaks at 1,300 mg daily for ages 9–18</w:t>
      </w:r>
      <w:r>
        <w:t xml:space="preserve">, compared to 1,000 mg for younger children and most adults.</w:t>
      </w:r>
    </w:p>
    <w:p>
      <w:pPr>
        <w:pStyle w:val="a0"/>
      </w:pPr>
      <w:r>
        <w:rPr>
          <w:b/>
          <w:bCs/>
        </w:rPr>
        <w:t xml:space="preserve">Evidence is clear that bone calcium accretion increases as a result of exercise rather than from increases in calcium intake alone</w:t>
      </w:r>
      <w:r>
        <w:t xml:space="preserve"> </w:t>
      </w:r>
      <w:hyperlink r:id="rId29">
        <w:r>
          <w:rPr>
            <w:rStyle w:val="af"/>
          </w:rPr>
          <w:t xml:space="preserve">(OpenLearn)</w:t>
        </w:r>
      </w:hyperlink>
      <w:r>
        <w:t xml:space="preserve"> </w:t>
      </w:r>
      <w:r>
        <w:t xml:space="preserve">. This finding has profound implications for adolescent health recommendations:</w:t>
      </w:r>
      <w:r>
        <w:t xml:space="preserve"> </w:t>
      </w:r>
      <w:r>
        <w:rPr>
          <w:b/>
          <w:bCs/>
        </w:rPr>
        <w:t xml:space="preserve">physical activity provides the osteogenic mechanical loading signals that direct mineral deposition into bone</w:t>
      </w:r>
      <w:r>
        <w:t xml:space="preserve">, while calcium serves as substrate that cannot be utilized effectively without this stimulus.</w:t>
      </w:r>
      <w:r>
        <w:t xml:space="preserve"> </w:t>
      </w:r>
      <w:r>
        <w:rPr>
          <w:b/>
          <w:bCs/>
        </w:rPr>
        <w:t xml:space="preserve">Weight-bearing activities (running, jumping, resistance training) and high-impact sports during adolescence establish the bone density foundation that resists osteoporosis decades later</w:t>
      </w:r>
      <w:r>
        <w:t xml:space="preserve">. Since weight gain often begins during adolescence and young adulthood,</w:t>
      </w:r>
      <w:r>
        <w:t xml:space="preserve"> </w:t>
      </w:r>
      <w:r>
        <w:rPr>
          <w:b/>
          <w:bCs/>
        </w:rPr>
        <w:t xml:space="preserve">young people must establish healthy eating and lifestyle habits that reduce the risk for chronic disease later in life</w:t>
      </w:r>
      <w:r>
        <w:t xml:space="preserve"> </w:t>
      </w:r>
      <w:hyperlink r:id="rId29">
        <w:r>
          <w:rPr>
            <w:rStyle w:val="af"/>
          </w:rPr>
          <w:t xml:space="preserve">(OpenLearn)</w:t>
        </w:r>
      </w:hyperlink>
      <w:r>
        <w:t xml:space="preserve"> </w:t>
      </w:r>
      <w:r>
        <w:t xml:space="preserve">. The synergistic effect of physical activity, particularly high-impact and resistance exercises, on bone mineral density is well-established, with adolescent athletes in weight-bearing sports demonstrating</w:t>
      </w:r>
      <w:r>
        <w:t xml:space="preserve"> </w:t>
      </w:r>
      <w:r>
        <w:rPr>
          <w:b/>
          <w:bCs/>
        </w:rPr>
        <w:t xml:space="preserve">10–20% higher bone mass than sedentary peers</w:t>
      </w:r>
      <w:r>
        <w:t xml:space="preserve">. This calcium-exercise interaction underscores the importance of</w:t>
      </w:r>
      <w:r>
        <w:t xml:space="preserve"> </w:t>
      </w:r>
      <w:r>
        <w:rPr>
          <w:b/>
          <w:bCs/>
        </w:rPr>
        <w:t xml:space="preserve">integrated approaches to bone health promotion</w:t>
      </w:r>
      <w:r>
        <w:t xml:space="preserve"> </w:t>
      </w:r>
      <w:r>
        <w:t xml:space="preserve">that address both nutritional and lifestyle factors simultaneously rather than in isolation.</w:t>
      </w:r>
    </w:p>
    <w:bookmarkEnd w:id="70"/>
    <w:bookmarkStart w:id="71" w:name="X24ccbb7d70acb628019ae2855a66416321a8f5f"/>
    <w:p>
      <w:pPr>
        <w:pStyle w:val="4"/>
      </w:pPr>
      <w:r>
        <w:t xml:space="preserve">3.2.3 Establishing Lifelong Eating Behaviors and Chronic Disease Prevention</w:t>
      </w:r>
    </w:p>
    <w:p>
      <w:pPr>
        <w:pStyle w:val="FirstParagraph"/>
      </w:pPr>
      <w:r>
        <w:t xml:space="preserve">The</w:t>
      </w:r>
      <w:r>
        <w:t xml:space="preserve"> </w:t>
      </w:r>
      <w:r>
        <w:rPr>
          <w:b/>
          <w:bCs/>
        </w:rPr>
        <w:t xml:space="preserve">dietary patterns established during childhood and adolescence track strongly into adulthood</w:t>
      </w:r>
      <w:r>
        <w:t xml:space="preserve">, making this developmental period crucial for prevention of obesity, type 2 diabetes, cardiovascular disease, and certain cancers through establishment of healthy eating behaviors.</w:t>
      </w:r>
      <w:r>
        <w:t xml:space="preserve"> </w:t>
      </w:r>
      <w:r>
        <w:rPr>
          <w:b/>
          <w:bCs/>
        </w:rPr>
        <w:t xml:space="preserve">Early flavor preferences are shaped through repeated exposure</w:t>
      </w:r>
      <w:r>
        <w:t xml:space="preserve">, with infants and young children requiring</w:t>
      </w:r>
      <w:r>
        <w:t xml:space="preserve"> </w:t>
      </w:r>
      <w:r>
        <w:rPr>
          <w:b/>
          <w:bCs/>
        </w:rPr>
        <w:t xml:space="preserve">8–15 exposures to novel foods before acceptance</w:t>
      </w:r>
      <w:r>
        <w:t xml:space="preserve"> </w:t>
      </w:r>
      <w:r>
        <w:t xml:space="preserve">in many cases. Parental modeling, home food environment, and feeding practices (responsive versus controlling) significantly influence children’s food acceptance, portion size regulation, and eating self-regulation capacity.</w:t>
      </w:r>
    </w:p>
    <w:p>
      <w:pPr>
        <w:pStyle w:val="a0"/>
      </w:pPr>
      <w:r>
        <w:t xml:space="preserve">The American Heart Association recommends that children aged 2–18 years consume a diet</w:t>
      </w:r>
      <w:r>
        <w:t xml:space="preserve"> </w:t>
      </w:r>
      <w:r>
        <w:rPr>
          <w:b/>
          <w:bCs/>
        </w:rPr>
        <w:t xml:space="preserve">low in saturated fat and trans fat, with emphasis on fruits, vegetables, whole grains, low-fat dairy, and lean proteins</w:t>
      </w:r>
      <w:r>
        <w:t xml:space="preserve">, while</w:t>
      </w:r>
      <w:r>
        <w:t xml:space="preserve"> </w:t>
      </w:r>
      <w:r>
        <w:rPr>
          <w:b/>
          <w:bCs/>
        </w:rPr>
        <w:t xml:space="preserve">limiting added sugars to less than 25 grams (6 teaspoons) daily and avoiding sugar-sweetened beverages</w:t>
      </w:r>
      <w:r>
        <w:t xml:space="preserve">. These recommendations aim to prevent the development of</w:t>
      </w:r>
      <w:r>
        <w:t xml:space="preserve"> </w:t>
      </w:r>
      <w:r>
        <w:rPr>
          <w:b/>
          <w:bCs/>
        </w:rPr>
        <w:t xml:space="preserve">atherosclerosis, which begins in childhood</w:t>
      </w:r>
      <w:r>
        <w:t xml:space="preserve">, and to establish taste preferences and eating patterns that support cardiovascular health across the lifespan. School-based nutrition education, food environment modifications, and restriction of junk food marketing to children represent complementary public health strategies.</w:t>
      </w:r>
    </w:p>
    <w:bookmarkEnd w:id="71"/>
    <w:bookmarkStart w:id="72" w:name="Xce3f13c900ff70d0aecb41ff926047e82811c81"/>
    <w:p>
      <w:pPr>
        <w:pStyle w:val="4"/>
      </w:pPr>
      <w:r>
        <w:t xml:space="preserve">3.2.4 Risk of Micronutrient Deficiencies in Selective Eaters</w:t>
      </w:r>
    </w:p>
    <w:p>
      <w:pPr>
        <w:pStyle w:val="FirstParagraph"/>
      </w:pPr>
      <w:r>
        <w:rPr>
          <w:b/>
          <w:bCs/>
        </w:rPr>
        <w:t xml:space="preserve">Selective or</w:t>
      </w:r>
      <w:r>
        <w:rPr>
          <w:b/>
          <w:bCs/>
        </w:rPr>
        <w:t xml:space="preserve"> </w:t>
      </w:r>
      <w:r>
        <w:rPr>
          <w:b/>
          <w:bCs/>
        </w:rPr>
        <w:t xml:space="preserve">“</w:t>
      </w:r>
      <w:r>
        <w:rPr>
          <w:b/>
          <w:bCs/>
        </w:rPr>
        <w:t xml:space="preserve">picky</w:t>
      </w:r>
      <w:r>
        <w:rPr>
          <w:b/>
          <w:bCs/>
        </w:rPr>
        <w:t xml:space="preserve">”</w:t>
      </w:r>
      <w:r>
        <w:rPr>
          <w:b/>
          <w:bCs/>
        </w:rPr>
        <w:t xml:space="preserve"> </w:t>
      </w:r>
      <w:r>
        <w:rPr>
          <w:b/>
          <w:bCs/>
        </w:rPr>
        <w:t xml:space="preserve">eating</w:t>
      </w:r>
      <w:r>
        <w:t xml:space="preserve">, estimated to affect</w:t>
      </w:r>
      <w:r>
        <w:t xml:space="preserve"> </w:t>
      </w:r>
      <w:r>
        <w:rPr>
          <w:b/>
          <w:bCs/>
        </w:rPr>
        <w:t xml:space="preserve">14–50% of preschool children</w:t>
      </w:r>
      <w:r>
        <w:t xml:space="preserve"> </w:t>
      </w:r>
      <w:r>
        <w:t xml:space="preserve">and persisting into older childhood for some, poses nutritional risk when food refusals eliminate entire food groups or nutrient-dense options.</w:t>
      </w:r>
      <w:r>
        <w:t xml:space="preserve"> </w:t>
      </w:r>
      <w:r>
        <w:rPr>
          <w:b/>
          <w:bCs/>
        </w:rPr>
        <w:t xml:space="preserve">Iron deficiency remains the most common micronutrient deficiency in children</w:t>
      </w:r>
      <w:r>
        <w:t xml:space="preserve">, with toddlers (1–3 years) particularly vulnerable due to rapid growth, low iron stores from infancy, and frequent consumption of cow’s milk (which displaces iron-rich foods and contains calcium that inhibits iron absorption).</w:t>
      </w:r>
      <w:r>
        <w:t xml:space="preserve"> </w:t>
      </w:r>
      <w:r>
        <w:rPr>
          <w:b/>
          <w:bCs/>
        </w:rPr>
        <w:t xml:space="preserve">Vitamin D deficiency has re-emerged as a concern in children</w:t>
      </w:r>
      <w:r>
        <w:t xml:space="preserve">, particularly those with limited sun exposure, darker skin, higher body mass index, or conditions affecting fat absorption. The American Academy of Pediatrics recommends</w:t>
      </w:r>
      <w:r>
        <w:t xml:space="preserve"> </w:t>
      </w:r>
      <w:r>
        <w:rPr>
          <w:b/>
          <w:bCs/>
        </w:rPr>
        <w:t xml:space="preserve">600 IU (15 micrograms) daily vitamin D for children over 1 year</w:t>
      </w:r>
      <w:r>
        <w:t xml:space="preserve">, with supplementation often necessary to achieve this intake.</w:t>
      </w:r>
    </w:p>
    <w:p>
      <w:pPr>
        <w:pStyle w:val="a0"/>
      </w:pPr>
      <w:r>
        <w:rPr>
          <w:b/>
          <w:bCs/>
        </w:rPr>
        <w:t xml:space="preserve">Fiber intake typically falls below recommendations in children</w:t>
      </w:r>
      <w:r>
        <w:t xml:space="preserve">, contributing to constipation—a common pediatric complaint—and potentially missing opportunities for establishing protective dietary patterns against future chronic disease.</w:t>
      </w:r>
      <w:r>
        <w:t xml:space="preserve"> </w:t>
      </w:r>
      <w:r>
        <w:rPr>
          <w:b/>
          <w:bCs/>
        </w:rPr>
        <w:t xml:space="preserve">Vegetarian children face additional attention to vitamin B12, iron, zinc, and iodine status</w:t>
      </w:r>
      <w:r>
        <w:t xml:space="preserve">, with need for nutrition guidance and the need for supplementation assessed individually</w:t>
      </w:r>
      <w:r>
        <w:t xml:space="preserve"> </w:t>
      </w:r>
      <w:hyperlink r:id="rId33">
        <w:r>
          <w:rPr>
            <w:rStyle w:val="af"/>
          </w:rPr>
          <w:t xml:space="preserve">(nih.gov)</w:t>
        </w:r>
      </w:hyperlink>
      <w:r>
        <w:t xml:space="preserve"> </w:t>
      </w:r>
      <w:r>
        <w:t xml:space="preserve">. The risk of micronutrient deficiency in vegetarian children is relatively difficult to assert based on the current limitations of evidence due to the lack of well-designed studies, but vigilance and appropriate testing are warranted</w:t>
      </w:r>
      <w:r>
        <w:t xml:space="preserve"> </w:t>
      </w:r>
      <w:hyperlink r:id="rId33">
        <w:r>
          <w:rPr>
            <w:rStyle w:val="af"/>
          </w:rPr>
          <w:t xml:space="preserve">(nih.gov)</w:t>
        </w:r>
      </w:hyperlink>
      <w:r>
        <w:t xml:space="preserve"> </w:t>
      </w:r>
      <w:r>
        <w:t xml:space="preserve">.</w:t>
      </w:r>
    </w:p>
    <w:bookmarkEnd w:id="72"/>
    <w:bookmarkEnd w:id="73"/>
    <w:bookmarkStart w:id="77" w:name="adults-1950-years"/>
    <w:p>
      <w:pPr>
        <w:pStyle w:val="3"/>
      </w:pPr>
      <w:r>
        <w:t xml:space="preserve">3.3 Adults (19–50 Years)</w:t>
      </w:r>
    </w:p>
    <w:bookmarkStart w:id="74" w:name="Xb001b900143b99529955e8d6c1509e24333b958"/>
    <w:p>
      <w:pPr>
        <w:pStyle w:val="4"/>
      </w:pPr>
      <w:r>
        <w:t xml:space="preserve">3.3.1 Maintenance Requirements and Metabolic Stability</w:t>
      </w:r>
    </w:p>
    <w:p>
      <w:pPr>
        <w:pStyle w:val="FirstParagraph"/>
      </w:pPr>
      <w:r>
        <w:t xml:space="preserve">Adulthood represents the period of</w:t>
      </w:r>
      <w:r>
        <w:t xml:space="preserve"> </w:t>
      </w:r>
      <w:r>
        <w:rPr>
          <w:b/>
          <w:bCs/>
        </w:rPr>
        <w:t xml:space="preserve">metabolic stability where growth has ceased and requirements focus on tissue maintenance, repair, and function</w:t>
      </w:r>
      <w:r>
        <w:t xml:space="preserve">. Energy requirements are determined by</w:t>
      </w:r>
      <w:r>
        <w:t xml:space="preserve"> </w:t>
      </w:r>
      <w:r>
        <w:rPr>
          <w:b/>
          <w:bCs/>
        </w:rPr>
        <w:t xml:space="preserve">basal metabolic rate (dependent on lean body mass), physical activity level, and thermic effect of food</w:t>
      </w:r>
      <w:r>
        <w:t xml:space="preserve">. For most adults, macronutrient requirements stabilize at levels supporting body composition maintenance and preventing chronic disease accumulation. The AMDR framework provides flexibility for diverse dietary patterns while ensuring adequacy. This life stage—often spanning 30+ years—offers the</w:t>
      </w:r>
      <w:r>
        <w:t xml:space="preserve"> </w:t>
      </w:r>
      <w:r>
        <w:rPr>
          <w:b/>
          <w:bCs/>
        </w:rPr>
        <w:t xml:space="preserve">longest window for preventive nutrition interventions</w:t>
      </w:r>
      <w:r>
        <w:t xml:space="preserve"> </w:t>
      </w:r>
      <w:r>
        <w:t xml:space="preserve">that can alter chronic disease trajectory before clinical manifestation.</w:t>
      </w:r>
    </w:p>
    <w:bookmarkEnd w:id="74"/>
    <w:bookmarkStart w:id="75" w:name="X5c2e54c6b89c2d9fc16dcead6472c2e5b4a354a"/>
    <w:p>
      <w:pPr>
        <w:pStyle w:val="4"/>
      </w:pPr>
      <w:r>
        <w:t xml:space="preserve">3.3.2 Reproductive-Age Women: Iron, Folate, and Preconception Nutrition</w:t>
      </w:r>
    </w:p>
    <w:p>
      <w:pPr>
        <w:pStyle w:val="FirstParagraph"/>
      </w:pPr>
      <w:r>
        <w:t xml:space="preserve">Women of reproductive capacity require particular attention to</w:t>
      </w:r>
      <w:r>
        <w:t xml:space="preserve"> </w:t>
      </w:r>
      <w:r>
        <w:rPr>
          <w:b/>
          <w:bCs/>
        </w:rPr>
        <w:t xml:space="preserve">iron and folate status</w:t>
      </w:r>
      <w:r>
        <w:t xml:space="preserve">. The</w:t>
      </w:r>
      <w:r>
        <w:t xml:space="preserve"> </w:t>
      </w:r>
      <w:r>
        <w:rPr>
          <w:b/>
          <w:bCs/>
        </w:rPr>
        <w:t xml:space="preserve">18 mg daily iron RDA for premenopausal women</w:t>
      </w:r>
      <w:r>
        <w:t xml:space="preserve"> </w:t>
      </w:r>
      <w:r>
        <w:t xml:space="preserve">reflects menstrual losses and maintains iron stores adequate for pregnancy.</w:t>
      </w:r>
      <w:r>
        <w:t xml:space="preserve"> </w:t>
      </w:r>
      <w:r>
        <w:rPr>
          <w:b/>
          <w:bCs/>
        </w:rPr>
        <w:t xml:space="preserve">Preconception folate status is critical</w:t>
      </w:r>
      <w:r>
        <w:t xml:space="preserve"> </w:t>
      </w:r>
      <w:r>
        <w:t xml:space="preserve">given neural tube closure occurs by day 28 post-conception, often before pregnancy recognition.</w:t>
      </w:r>
      <w:r>
        <w:t xml:space="preserve"> </w:t>
      </w:r>
      <w:r>
        <w:rPr>
          <w:b/>
          <w:bCs/>
        </w:rPr>
        <w:t xml:space="preserve">All women capable of pregnancy are advised to consume 400 micrograms folic acid daily</w:t>
      </w:r>
      <w:r>
        <w:t xml:space="preserve"> </w:t>
      </w:r>
      <w:r>
        <w:t xml:space="preserve">from fortified foods or supplements, with higher doses (4 mg) recommended for women with prior neural tube defect-affected pregnancy or MTHFR polymorphisms. This</w:t>
      </w:r>
      <w:r>
        <w:t xml:space="preserve"> </w:t>
      </w:r>
      <w:r>
        <w:rPr>
          <w:b/>
          <w:bCs/>
        </w:rPr>
        <w:t xml:space="preserve">preconception window—often neglected in clinical practice—represents the most impactful period for preventing serious birth defects through nutrition</w:t>
      </w:r>
      <w:r>
        <w:t xml:space="preserve">.</w:t>
      </w:r>
    </w:p>
    <w:bookmarkEnd w:id="75"/>
    <w:bookmarkStart w:id="76" w:name="Xeeb6ec81706155349af301b789ef45548dddb84"/>
    <w:p>
      <w:pPr>
        <w:pStyle w:val="4"/>
      </w:pPr>
      <w:r>
        <w:t xml:space="preserve">3.3.3 Occupational and Lifestyle Energy Expenditure Variations</w:t>
      </w:r>
    </w:p>
    <w:p>
      <w:pPr>
        <w:pStyle w:val="FirstParagraph"/>
      </w:pPr>
      <w:r>
        <w:t xml:space="preserve">Adult energy requirements vary dramatically with</w:t>
      </w:r>
      <w:r>
        <w:t xml:space="preserve"> </w:t>
      </w:r>
      <w:r>
        <w:rPr>
          <w:b/>
          <w:bCs/>
        </w:rPr>
        <w:t xml:space="preserve">occupational physical activity</w:t>
      </w:r>
      <w:r>
        <w:t xml:space="preserve">—from sedentary desk workers requiring only 1.6× basal metabolic rate to manual laborers and athletes requiring 2.0–2.4× BMR or higher. The</w:t>
      </w:r>
      <w:r>
        <w:t xml:space="preserve"> </w:t>
      </w:r>
      <w:r>
        <w:rPr>
          <w:b/>
          <w:bCs/>
        </w:rPr>
        <w:t xml:space="preserve">modern transition toward sedentary occupations</w:t>
      </w:r>
      <w:r>
        <w:t xml:space="preserve"> </w:t>
      </w:r>
      <w:r>
        <w:t xml:space="preserve">has created a widespread energy imbalance, with average daily energy expenditure declining by</w:t>
      </w:r>
      <w:r>
        <w:t xml:space="preserve"> </w:t>
      </w:r>
      <w:r>
        <w:rPr>
          <w:b/>
          <w:bCs/>
        </w:rPr>
        <w:t xml:space="preserve">100–300 kcal over recent decades</w:t>
      </w:r>
      <w:r>
        <w:t xml:space="preserve"> </w:t>
      </w:r>
      <w:r>
        <w:t xml:space="preserve">even as intake has remained stable or increased. This</w:t>
      </w:r>
      <w:r>
        <w:t xml:space="preserve"> </w:t>
      </w:r>
      <w:r>
        <w:t xml:space="preserve">“</w:t>
      </w:r>
      <w:r>
        <w:t xml:space="preserve">energy gap</w:t>
      </w:r>
      <w:r>
        <w:t xml:space="preserve">”</w:t>
      </w:r>
      <w:r>
        <w:t xml:space="preserve"> </w:t>
      </w:r>
      <w:r>
        <w:t xml:space="preserve">of approximately 100 kcal/day explains gradual weight gain at population level and underscores the need for</w:t>
      </w:r>
      <w:r>
        <w:t xml:space="preserve"> </w:t>
      </w:r>
      <w:r>
        <w:rPr>
          <w:b/>
          <w:bCs/>
        </w:rPr>
        <w:t xml:space="preserve">compensatory physical activity or modest dietary restraint</w:t>
      </w:r>
      <w:r>
        <w:t xml:space="preserve"> </w:t>
      </w:r>
      <w:r>
        <w:t xml:space="preserve">in sedentary adults.</w:t>
      </w:r>
    </w:p>
    <w:bookmarkEnd w:id="76"/>
    <w:bookmarkEnd w:id="77"/>
    <w:bookmarkStart w:id="83" w:name="pregnant-and-lactating-women"/>
    <w:p>
      <w:pPr>
        <w:pStyle w:val="3"/>
      </w:pPr>
      <w:r>
        <w:t xml:space="preserve">3.4 Pregnant and Lactating Women</w:t>
      </w:r>
    </w:p>
    <w:bookmarkStart w:id="79" w:name="Xc56a11ecc2bbd5c28ea9d8f02211b42b300fff0"/>
    <w:p>
      <w:pPr>
        <w:pStyle w:val="4"/>
      </w:pPr>
      <w:r>
        <w:t xml:space="preserve">3.4.1 Trimester-Specific Protein Requirements: 1 g/kg to 1.9 g/kg Progression</w:t>
      </w:r>
    </w:p>
    <w:p>
      <w:pPr>
        <w:pStyle w:val="FirstParagraph"/>
      </w:pPr>
      <w:r>
        <w:t xml:space="preserve">Protein requirements during pregnancy</w:t>
      </w:r>
      <w:r>
        <w:t xml:space="preserve"> </w:t>
      </w:r>
      <w:r>
        <w:rPr>
          <w:b/>
          <w:bCs/>
        </w:rPr>
        <w:t xml:space="preserve">increase progressively across trimesters</w:t>
      </w:r>
      <w:r>
        <w:t xml:space="preserve"> </w:t>
      </w:r>
      <w:r>
        <w:t xml:space="preserve">to support fetal growth, placental development, maternal tissue expansion, and preparation for lactation. Multiple authoritative bodies have established trimester-specific recommendations, with notable convergence and some variation reflecting different methodological approaches</w:t>
      </w:r>
      <w:r>
        <w:t xml:space="preserve"> </w:t>
      </w:r>
      <w:hyperlink r:id="rId78">
        <w:r>
          <w:rPr>
            <w:rStyle w:val="af"/>
          </w:rPr>
          <w:t xml:space="preserve">(europa.eu)</w:t>
        </w:r>
      </w:hyperlink>
      <w:r>
        <w:t xml:space="preserve"> </w:t>
      </w:r>
      <w:r>
        <w:t xml:space="preserve">:</w:t>
      </w:r>
    </w:p>
    <w:tbl>
      <w:tblPr>
        <w:tblStyle w:val="Table"/>
        <w:tblW w:type="pct" w:w="5000"/>
        <w:jc w:val="left"/>
        <w:tblLayout w:type="fixed"/>
        <w:tblLook w:firstRow="1" w:lastRow="0" w:firstColumn="0" w:lastColumn="0" w:noHBand="0" w:noVBand="0" w:val="0020"/>
      </w:tblPr>
      <w:tblGrid>
        <w:gridCol w:w="1210"/>
        <w:gridCol w:w="1650"/>
        <w:gridCol w:w="1980"/>
        <w:gridCol w:w="1870"/>
        <w:gridCol w:w="1210"/>
      </w:tblGrid>
      <w:tr>
        <w:trPr>
          <w:tblHeader w:val="on"/>
        </w:trPr>
        <w:tc>
          <w:tcPr/>
          <w:p>
            <w:pPr>
              <w:pStyle w:val="Compact"/>
              <w:jc w:val="left"/>
            </w:pPr>
            <w:r>
              <w:t xml:space="preserve">Authority</w:t>
            </w:r>
          </w:p>
        </w:tc>
        <w:tc>
          <w:tcPr/>
          <w:p>
            <w:pPr>
              <w:pStyle w:val="Compact"/>
              <w:jc w:val="left"/>
            </w:pPr>
            <w:r>
              <w:t xml:space="preserve">First Trimester</w:t>
            </w:r>
          </w:p>
        </w:tc>
        <w:tc>
          <w:tcPr/>
          <w:p>
            <w:pPr>
              <w:pStyle w:val="Compact"/>
              <w:jc w:val="left"/>
            </w:pPr>
            <w:r>
              <w:t xml:space="preserve">Second Trimester</w:t>
            </w:r>
          </w:p>
        </w:tc>
        <w:tc>
          <w:tcPr/>
          <w:p>
            <w:pPr>
              <w:pStyle w:val="Compact"/>
              <w:jc w:val="left"/>
            </w:pPr>
            <w:r>
              <w:t xml:space="preserve">Third Trimester</w:t>
            </w:r>
          </w:p>
        </w:tc>
        <w:tc>
          <w:tcPr/>
          <w:p>
            <w:pPr>
              <w:pStyle w:val="Compact"/>
              <w:jc w:val="left"/>
            </w:pPr>
            <w:r>
              <w:t xml:space="preserve">Lactation</w:t>
            </w:r>
          </w:p>
        </w:tc>
      </w:tr>
      <w:tr>
        <w:tc>
          <w:tcPr/>
          <w:p>
            <w:pPr>
              <w:pStyle w:val="Compact"/>
              <w:jc w:val="left"/>
            </w:pPr>
            <w:r>
              <w:rPr>
                <w:b/>
                <w:bCs/>
              </w:rPr>
              <w:t xml:space="preserve">EFSA 2012</w:t>
            </w:r>
          </w:p>
        </w:tc>
        <w:tc>
          <w:tcPr/>
          <w:p>
            <w:pPr>
              <w:pStyle w:val="Compact"/>
              <w:jc w:val="left"/>
            </w:pPr>
            <w:r>
              <w:t xml:space="preserve">+1 g/day</w:t>
            </w:r>
          </w:p>
        </w:tc>
        <w:tc>
          <w:tcPr/>
          <w:p>
            <w:pPr>
              <w:pStyle w:val="Compact"/>
              <w:jc w:val="left"/>
            </w:pPr>
            <w:r>
              <w:t xml:space="preserve">+9 g/day</w:t>
            </w:r>
          </w:p>
        </w:tc>
        <w:tc>
          <w:tcPr/>
          <w:p>
            <w:pPr>
              <w:pStyle w:val="Compact"/>
              <w:jc w:val="left"/>
            </w:pPr>
            <w:r>
              <w:t xml:space="preserve">+28 g/day</w:t>
            </w:r>
          </w:p>
        </w:tc>
        <w:tc>
          <w:tcPr/>
          <w:p>
            <w:pPr>
              <w:pStyle w:val="Compact"/>
              <w:jc w:val="left"/>
            </w:pPr>
            <w:r>
              <w:t xml:space="preserve">+19 g/day (0–6 months); +13 g/day (&gt;6 months)</w:t>
            </w:r>
          </w:p>
        </w:tc>
      </w:tr>
      <w:tr>
        <w:tc>
          <w:tcPr/>
          <w:p>
            <w:pPr>
              <w:pStyle w:val="Compact"/>
              <w:jc w:val="left"/>
            </w:pPr>
            <w:r>
              <w:rPr>
                <w:b/>
                <w:bCs/>
              </w:rPr>
              <w:t xml:space="preserve">WHO/FAO/UNU 2007</w:t>
            </w:r>
          </w:p>
        </w:tc>
        <w:tc>
          <w:tcPr/>
          <w:p>
            <w:pPr>
              <w:pStyle w:val="Compact"/>
              <w:jc w:val="left"/>
            </w:pPr>
            <w:r>
              <w:t xml:space="preserve">+1 g/day</w:t>
            </w:r>
          </w:p>
        </w:tc>
        <w:tc>
          <w:tcPr/>
          <w:p>
            <w:pPr>
              <w:pStyle w:val="Compact"/>
              <w:jc w:val="left"/>
            </w:pPr>
            <w:r>
              <w:t xml:space="preserve">+9 g/day</w:t>
            </w:r>
          </w:p>
        </w:tc>
        <w:tc>
          <w:tcPr/>
          <w:p>
            <w:pPr>
              <w:pStyle w:val="Compact"/>
              <w:jc w:val="left"/>
            </w:pPr>
            <w:r>
              <w:t xml:space="preserve">+31 g/day</w:t>
            </w:r>
          </w:p>
        </w:tc>
        <w:tc>
          <w:tcPr/>
          <w:p>
            <w:pPr>
              <w:pStyle w:val="Compact"/>
              <w:jc w:val="left"/>
            </w:pPr>
            <w:r>
              <w:t xml:space="preserve">+19 g/day (0–3 months); +12.5 g/day (&gt;6 months)</w:t>
            </w:r>
          </w:p>
        </w:tc>
      </w:tr>
      <w:tr>
        <w:tc>
          <w:tcPr/>
          <w:p>
            <w:pPr>
              <w:pStyle w:val="Compact"/>
              <w:jc w:val="left"/>
            </w:pPr>
            <w:r>
              <w:rPr>
                <w:b/>
                <w:bCs/>
              </w:rPr>
              <w:t xml:space="preserve">DGE 2019</w:t>
            </w:r>
          </w:p>
        </w:tc>
        <w:tc>
          <w:tcPr/>
          <w:p>
            <w:pPr>
              <w:pStyle w:val="Compact"/>
              <w:jc w:val="left"/>
            </w:pPr>
            <w:r>
              <w:t xml:space="preserve">Negligible (+0.4 g/day)</w:t>
            </w:r>
          </w:p>
        </w:tc>
        <w:tc>
          <w:tcPr/>
          <w:p>
            <w:pPr>
              <w:pStyle w:val="Compact"/>
              <w:jc w:val="left"/>
            </w:pPr>
            <w:r>
              <w:t xml:space="preserve">+5.5 g/day</w:t>
            </w:r>
          </w:p>
        </w:tc>
        <w:tc>
          <w:tcPr/>
          <w:p>
            <w:pPr>
              <w:pStyle w:val="Compact"/>
              <w:jc w:val="left"/>
            </w:pPr>
            <w:r>
              <w:t xml:space="preserve">+17.1 g/day</w:t>
            </w:r>
          </w:p>
        </w:tc>
        <w:tc>
          <w:tcPr/>
          <w:p>
            <w:pPr>
              <w:pStyle w:val="Compact"/>
              <w:jc w:val="left"/>
            </w:pPr>
            <w:r>
              <w:t xml:space="preserve">+23 g/day (1.2 g/kg total)</w:t>
            </w:r>
          </w:p>
        </w:tc>
      </w:tr>
      <w:tr>
        <w:tc>
          <w:tcPr/>
          <w:p>
            <w:pPr>
              <w:pStyle w:val="Compact"/>
              <w:jc w:val="left"/>
            </w:pPr>
            <w:r>
              <w:rPr>
                <w:b/>
                <w:bCs/>
              </w:rPr>
              <w:t xml:space="preserve">AFSSA 2007</w:t>
            </w:r>
          </w:p>
        </w:tc>
        <w:tc>
          <w:tcPr/>
          <w:p>
            <w:pPr>
              <w:pStyle w:val="Compact"/>
              <w:jc w:val="left"/>
            </w:pPr>
            <w:r>
              <w:t xml:space="preserve">0.82 g/kg body weight</w:t>
            </w:r>
          </w:p>
        </w:tc>
        <w:tc>
          <w:tcPr/>
          <w:p>
            <w:pPr>
              <w:pStyle w:val="Compact"/>
              <w:jc w:val="left"/>
            </w:pPr>
            <w:r>
              <w:t xml:space="preserve">Progressive increase</w:t>
            </w:r>
          </w:p>
        </w:tc>
        <w:tc>
          <w:tcPr/>
          <w:p>
            <w:pPr>
              <w:pStyle w:val="Compact"/>
              <w:jc w:val="left"/>
            </w:pPr>
            <w:r>
              <w:t xml:space="preserve">1.0 g/kg body weight</w:t>
            </w:r>
          </w:p>
        </w:tc>
        <w:tc>
          <w:tcPr/>
          <w:p>
            <w:pPr>
              <w:pStyle w:val="Compact"/>
              <w:jc w:val="left"/>
            </w:pPr>
            <w:r>
              <w:t xml:space="preserve">1.1 g/kg body weight</w:t>
            </w:r>
          </w:p>
        </w:tc>
      </w:tr>
    </w:tbl>
    <w:p>
      <w:pPr>
        <w:pStyle w:val="a0"/>
      </w:pPr>
      <w:r>
        <w:t xml:space="preserve">The</w:t>
      </w:r>
      <w:r>
        <w:t xml:space="preserve"> </w:t>
      </w:r>
      <w:r>
        <w:rPr>
          <w:b/>
          <w:bCs/>
        </w:rPr>
        <w:t xml:space="preserve">European Food Safety Authority (EFSA) proposes a PRI (Population Reference Intake) for protein of 1, 9, and 28 g/day additional in the first, second, and third trimesters respectively</w:t>
      </w:r>
      <w:r>
        <w:t xml:space="preserve">, in addition to the PRI for non-pregnant women</w:t>
      </w:r>
      <w:r>
        <w:t xml:space="preserve"> </w:t>
      </w:r>
      <w:hyperlink r:id="rId78">
        <w:r>
          <w:rPr>
            <w:rStyle w:val="af"/>
          </w:rPr>
          <w:t xml:space="preserve">(europa.eu)</w:t>
        </w:r>
      </w:hyperlink>
      <w:r>
        <w:t xml:space="preserve"> </w:t>
      </w:r>
      <w:r>
        <w:t xml:space="preserve">. The WHO/FAO/UNU recommendations are similar, with slightly higher third trimester increment of 31 g/day. The</w:t>
      </w:r>
      <w:r>
        <w:t xml:space="preserve"> </w:t>
      </w:r>
      <w:r>
        <w:rPr>
          <w:b/>
          <w:bCs/>
        </w:rPr>
        <w:t xml:space="preserve">German Nutrition Society (DGE) calculated lower additional requirements</w:t>
      </w:r>
      <w:r>
        <w:t xml:space="preserve">, particularly for the second trimester, while emphasizing that a regular diet can cover protein requirements if energy requirements are met</w:t>
      </w:r>
      <w:r>
        <w:t xml:space="preserve"> </w:t>
      </w:r>
      <w:hyperlink r:id="rId78">
        <w:r>
          <w:rPr>
            <w:rStyle w:val="af"/>
          </w:rPr>
          <w:t xml:space="preserve">(europa.eu)</w:t>
        </w:r>
      </w:hyperlink>
      <w:r>
        <w:t xml:space="preserve"> </w:t>
      </w:r>
      <w:r>
        <w:t xml:space="preserve">.</w:t>
      </w:r>
    </w:p>
    <w:p>
      <w:pPr>
        <w:pStyle w:val="a0"/>
      </w:pPr>
      <w:r>
        <w:t xml:space="preserve">The</w:t>
      </w:r>
      <w:r>
        <w:t xml:space="preserve"> </w:t>
      </w:r>
      <w:r>
        <w:rPr>
          <w:b/>
          <w:bCs/>
        </w:rPr>
        <w:t xml:space="preserve">French Agency for Food, Environmental and Occupational Health &amp; Safety (AFSSA) recommends gradual increase from 0.82 g per kg body weight per day at pregnancy onset to 1 g per kg body weight per day at term</w:t>
      </w:r>
      <w:r>
        <w:t xml:space="preserve">, with explicit caution that</w:t>
      </w:r>
      <w:r>
        <w:t xml:space="preserve"> </w:t>
      </w:r>
      <w:r>
        <w:rPr>
          <w:b/>
          <w:bCs/>
        </w:rPr>
        <w:t xml:space="preserve">an excessively high-protein diet in the mother may be shown to be harmful to the foetus</w:t>
      </w:r>
      <w:r>
        <w:t xml:space="preserve"> </w:t>
      </w:r>
      <w:hyperlink r:id="rId78">
        <w:r>
          <w:rPr>
            <w:rStyle w:val="af"/>
          </w:rPr>
          <w:t xml:space="preserve">(europa.eu)</w:t>
        </w:r>
      </w:hyperlink>
      <w:r>
        <w:t xml:space="preserve"> </w:t>
      </w:r>
      <w:r>
        <w:t xml:space="preserve">. This concern reflects animal studies suggesting that very high protein intakes may impair fetal growth through metabolic programming effects, though human evidence remains limited. The practical implication is that</w:t>
      </w:r>
      <w:r>
        <w:t xml:space="preserve"> </w:t>
      </w:r>
      <w:r>
        <w:rPr>
          <w:b/>
          <w:bCs/>
        </w:rPr>
        <w:t xml:space="preserve">moderate protein increase across pregnancy is appropriate, but extreme high-protein diets should be avoided</w:t>
      </w:r>
      <w:r>
        <w:t xml:space="preserve">.</w:t>
      </w:r>
    </w:p>
    <w:bookmarkEnd w:id="79"/>
    <w:bookmarkStart w:id="80" w:name="X176e7019ae6c67af0deaf3ed2d147a685849897"/>
    <w:p>
      <w:pPr>
        <w:pStyle w:val="4"/>
      </w:pPr>
      <w:r>
        <w:t xml:space="preserve">3.4.2 Critical Micronutrients: Iron, Iodine, Vitamin A, Folate, B12</w:t>
      </w:r>
    </w:p>
    <w:p>
      <w:pPr>
        <w:pStyle w:val="FirstParagraph"/>
      </w:pPr>
      <w:r>
        <w:rPr>
          <w:b/>
          <w:bCs/>
        </w:rPr>
        <w:t xml:space="preserve">Women’s nutrition during pregnancy and lactation should focus on the three micronutrients (vitamin A, iron and iodine) and extra energy intake/reduction of energy expenditure</w:t>
      </w:r>
      <w:r>
        <w:t xml:space="preserve"> </w:t>
      </w:r>
      <w:hyperlink r:id="rId29">
        <w:r>
          <w:rPr>
            <w:rStyle w:val="af"/>
          </w:rPr>
          <w:t xml:space="preserve">(OpenLearn)</w:t>
        </w:r>
      </w:hyperlink>
      <w:r>
        <w:t xml:space="preserve"> </w:t>
      </w:r>
      <w:r>
        <w:t xml:space="preserve">. Essential nutrition actions include:</w:t>
      </w:r>
      <w:r>
        <w:t xml:space="preserve"> </w:t>
      </w:r>
      <w:r>
        <w:rPr>
          <w:b/>
          <w:bCs/>
        </w:rPr>
        <w:t xml:space="preserve">consumption of iron-rich foods and at least one additional meal (200 kcal) per day during pregnancy; use of iodized salt; vitamin A-rich foods (papaya, mango, tomato, carrot, green leafy vegetables) and animal foods (fish, liver); and deworming during the third trimester in endemic areas</w:t>
      </w:r>
      <w:r>
        <w:t xml:space="preserve"> </w:t>
      </w:r>
      <w:hyperlink r:id="rId29">
        <w:r>
          <w:rPr>
            <w:rStyle w:val="af"/>
          </w:rPr>
          <w:t xml:space="preserve">(OpenLearn)</w:t>
        </w:r>
      </w:hyperlink>
      <w:r>
        <w:t xml:space="preserve"> </w:t>
      </w:r>
      <w:r>
        <w:t xml:space="preserve">.</w:t>
      </w:r>
    </w:p>
    <w:tbl>
      <w:tblPr>
        <w:tblStyle w:val="Table"/>
        <w:tblW w:type="pct" w:w="5000"/>
        <w:jc w:val="left"/>
        <w:tblLayout w:type="fixed"/>
        <w:tblLook w:firstRow="1" w:lastRow="0" w:firstColumn="0" w:lastColumn="0" w:noHBand="0" w:noVBand="0" w:val="0020"/>
      </w:tblPr>
      <w:tblGrid>
        <w:gridCol w:w="1372"/>
        <w:gridCol w:w="1372"/>
        <w:gridCol w:w="2217"/>
        <w:gridCol w:w="1372"/>
        <w:gridCol w:w="1584"/>
      </w:tblGrid>
      <w:tr>
        <w:trPr>
          <w:tblHeader w:val="on"/>
        </w:trPr>
        <w:tc>
          <w:tcPr/>
          <w:p>
            <w:pPr>
              <w:pStyle w:val="Compact"/>
              <w:jc w:val="left"/>
            </w:pPr>
            <w:r>
              <w:t xml:space="preserve">Micronutrient</w:t>
            </w:r>
          </w:p>
        </w:tc>
        <w:tc>
          <w:tcPr/>
          <w:p>
            <w:pPr>
              <w:pStyle w:val="Compact"/>
              <w:jc w:val="left"/>
            </w:pPr>
            <w:r>
              <w:t xml:space="preserve">Pregnancy RDA</w:t>
            </w:r>
          </w:p>
        </w:tc>
        <w:tc>
          <w:tcPr/>
          <w:p>
            <w:pPr>
              <w:pStyle w:val="Compact"/>
              <w:jc w:val="left"/>
            </w:pPr>
            <w:r>
              <w:t xml:space="preserve">Physiological Demand</w:t>
            </w:r>
          </w:p>
        </w:tc>
        <w:tc>
          <w:tcPr/>
          <w:p>
            <w:pPr>
              <w:pStyle w:val="Compact"/>
              <w:jc w:val="left"/>
            </w:pPr>
            <w:r>
              <w:t xml:space="preserve">Key Sources</w:t>
            </w:r>
          </w:p>
        </w:tc>
        <w:tc>
          <w:tcPr/>
          <w:p>
            <w:pPr>
              <w:pStyle w:val="Compact"/>
              <w:jc w:val="left"/>
            </w:pPr>
            <w:r>
              <w:t xml:space="preserve">Deficiency Risk</w:t>
            </w:r>
          </w:p>
        </w:tc>
      </w:tr>
      <w:tr>
        <w:tc>
          <w:tcPr/>
          <w:p>
            <w:pPr>
              <w:pStyle w:val="Compact"/>
              <w:jc w:val="left"/>
            </w:pPr>
            <w:r>
              <w:rPr>
                <w:b/>
                <w:bCs/>
              </w:rPr>
              <w:t xml:space="preserve">Iron</w:t>
            </w:r>
          </w:p>
        </w:tc>
        <w:tc>
          <w:tcPr/>
          <w:p>
            <w:pPr>
              <w:pStyle w:val="Compact"/>
              <w:jc w:val="left"/>
            </w:pPr>
            <w:r>
              <w:t xml:space="preserve">27 mg/day</w:t>
            </w:r>
          </w:p>
        </w:tc>
        <w:tc>
          <w:tcPr/>
          <w:p>
            <w:pPr>
              <w:pStyle w:val="Compact"/>
              <w:jc w:val="left"/>
            </w:pPr>
            <w:r>
              <w:t xml:space="preserve">Expanded blood volume, placental development, fetal iron accumulation (300–350 mg), anticipated delivery blood losses</w:t>
            </w:r>
          </w:p>
        </w:tc>
        <w:tc>
          <w:tcPr/>
          <w:p>
            <w:pPr>
              <w:pStyle w:val="Compact"/>
              <w:jc w:val="left"/>
            </w:pPr>
            <w:r>
              <w:t xml:space="preserve">Red meat, fortified cereals, legumes, dark leafy greens; supplementation typically required</w:t>
            </w:r>
          </w:p>
        </w:tc>
        <w:tc>
          <w:tcPr/>
          <w:p>
            <w:pPr>
              <w:pStyle w:val="Compact"/>
              <w:jc w:val="left"/>
            </w:pPr>
            <w:r>
              <w:t xml:space="preserve">Most common deficiency; associated with preterm birth, low birth weight, maternal mortality</w:t>
            </w:r>
          </w:p>
        </w:tc>
      </w:tr>
      <w:tr>
        <w:tc>
          <w:tcPr/>
          <w:p>
            <w:pPr>
              <w:pStyle w:val="Compact"/>
              <w:jc w:val="left"/>
            </w:pPr>
            <w:r>
              <w:rPr>
                <w:b/>
                <w:bCs/>
              </w:rPr>
              <w:t xml:space="preserve">Iodine</w:t>
            </w:r>
          </w:p>
        </w:tc>
        <w:tc>
          <w:tcPr/>
          <w:p>
            <w:pPr>
              <w:pStyle w:val="Compact"/>
              <w:jc w:val="left"/>
            </w:pPr>
            <w:r>
              <w:t xml:space="preserve">220 mcg/day</w:t>
            </w:r>
          </w:p>
        </w:tc>
        <w:tc>
          <w:tcPr/>
          <w:p>
            <w:pPr>
              <w:pStyle w:val="Compact"/>
              <w:jc w:val="left"/>
            </w:pPr>
            <w:r>
              <w:t xml:space="preserve">Increased thyroid hormone production for fetal neurological development</w:t>
            </w:r>
          </w:p>
        </w:tc>
        <w:tc>
          <w:tcPr/>
          <w:p>
            <w:pPr>
              <w:pStyle w:val="Compact"/>
              <w:jc w:val="left"/>
            </w:pPr>
            <w:r>
              <w:t xml:space="preserve">Iodized salt, seafood, dairy products</w:t>
            </w:r>
          </w:p>
        </w:tc>
        <w:tc>
          <w:tcPr/>
          <w:p>
            <w:pPr>
              <w:pStyle w:val="Compact"/>
              <w:jc w:val="left"/>
            </w:pPr>
            <w:r>
              <w:t xml:space="preserve">Irreversible fetal neurodevelopmental impairment (cretinism) even with mild deficiency</w:t>
            </w:r>
          </w:p>
        </w:tc>
      </w:tr>
      <w:tr>
        <w:tc>
          <w:tcPr/>
          <w:p>
            <w:pPr>
              <w:pStyle w:val="Compact"/>
              <w:jc w:val="left"/>
            </w:pPr>
            <w:r>
              <w:rPr>
                <w:b/>
                <w:bCs/>
              </w:rPr>
              <w:t xml:space="preserve">Vitamin A</w:t>
            </w:r>
          </w:p>
        </w:tc>
        <w:tc>
          <w:tcPr/>
          <w:p>
            <w:pPr>
              <w:pStyle w:val="Compact"/>
              <w:jc w:val="left"/>
            </w:pPr>
            <w:r>
              <w:t xml:space="preserve">770 mcg RAE/day</w:t>
            </w:r>
          </w:p>
        </w:tc>
        <w:tc>
          <w:tcPr/>
          <w:p>
            <w:pPr>
              <w:pStyle w:val="Compact"/>
              <w:jc w:val="left"/>
            </w:pPr>
            <w:r>
              <w:t xml:space="preserve">Embryonic organogenesis, immune function</w:t>
            </w:r>
          </w:p>
        </w:tc>
        <w:tc>
          <w:tcPr/>
          <w:p>
            <w:pPr>
              <w:pStyle w:val="Compact"/>
              <w:jc w:val="left"/>
            </w:pPr>
            <w:r>
              <w:t xml:space="preserve">Papaya, mango, tomato, carrot, green leafy vegetables, fish, liver;</w:t>
            </w:r>
            <w:r>
              <w:t xml:space="preserve"> </w:t>
            </w:r>
            <w:r>
              <w:rPr>
                <w:b/>
                <w:bCs/>
              </w:rPr>
              <w:t xml:space="preserve">supplements contraindicated in high doses due to teratogenicity</w:t>
            </w:r>
          </w:p>
        </w:tc>
        <w:tc>
          <w:tcPr/>
          <w:p>
            <w:pPr>
              <w:pStyle w:val="Compact"/>
              <w:jc w:val="left"/>
            </w:pPr>
            <w:r>
              <w:t xml:space="preserve">Night blindness, increased infection susceptibility; excess causes birth defects</w:t>
            </w:r>
          </w:p>
        </w:tc>
      </w:tr>
      <w:tr>
        <w:tc>
          <w:tcPr/>
          <w:p>
            <w:pPr>
              <w:pStyle w:val="Compact"/>
              <w:jc w:val="left"/>
            </w:pPr>
            <w:r>
              <w:rPr>
                <w:b/>
                <w:bCs/>
              </w:rPr>
              <w:t xml:space="preserve">Folate</w:t>
            </w:r>
          </w:p>
        </w:tc>
        <w:tc>
          <w:tcPr/>
          <w:p>
            <w:pPr>
              <w:pStyle w:val="Compact"/>
              <w:jc w:val="left"/>
            </w:pPr>
            <w:r>
              <w:t xml:space="preserve">600 mcg DFE/day</w:t>
            </w:r>
          </w:p>
        </w:tc>
        <w:tc>
          <w:tcPr/>
          <w:p>
            <w:pPr>
              <w:pStyle w:val="Compact"/>
              <w:jc w:val="left"/>
            </w:pPr>
            <w:r>
              <w:t xml:space="preserve">DNA synthesis, neural tube closure (first 28 days)</w:t>
            </w:r>
          </w:p>
        </w:tc>
        <w:tc>
          <w:tcPr/>
          <w:p>
            <w:pPr>
              <w:pStyle w:val="Compact"/>
              <w:jc w:val="left"/>
            </w:pPr>
            <w:r>
              <w:t xml:space="preserve">Fortified grains, legumes, leafy greens, supplements (400 mcg minimum preconception)</w:t>
            </w:r>
          </w:p>
        </w:tc>
        <w:tc>
          <w:tcPr/>
          <w:p>
            <w:pPr>
              <w:pStyle w:val="Compact"/>
              <w:jc w:val="left"/>
            </w:pPr>
            <w:r>
              <w:t xml:space="preserve">Neural tube defects (anencephaly, spina bifida); 50–70% preventable with adequate status</w:t>
            </w:r>
          </w:p>
        </w:tc>
      </w:tr>
      <w:tr>
        <w:tc>
          <w:tcPr/>
          <w:p>
            <w:pPr>
              <w:pStyle w:val="Compact"/>
              <w:jc w:val="left"/>
            </w:pPr>
            <w:r>
              <w:rPr>
                <w:b/>
                <w:bCs/>
              </w:rPr>
              <w:t xml:space="preserve">Vitamin B12</w:t>
            </w:r>
          </w:p>
        </w:tc>
        <w:tc>
          <w:tcPr/>
          <w:p>
            <w:pPr>
              <w:pStyle w:val="Compact"/>
              <w:jc w:val="left"/>
            </w:pPr>
            <w:r>
              <w:t xml:space="preserve">2.6 mcg/day</w:t>
            </w:r>
          </w:p>
        </w:tc>
        <w:tc>
          <w:tcPr/>
          <w:p>
            <w:pPr>
              <w:pStyle w:val="Compact"/>
              <w:jc w:val="left"/>
            </w:pPr>
            <w:r>
              <w:t xml:space="preserve">Fetal neurological development, methylation reactions</w:t>
            </w:r>
          </w:p>
        </w:tc>
        <w:tc>
          <w:tcPr/>
          <w:p>
            <w:pPr>
              <w:pStyle w:val="Compact"/>
              <w:jc w:val="left"/>
            </w:pPr>
            <w:r>
              <w:t xml:space="preserve">Animal products, fortified foods, supplements for vegetarians/vegans</w:t>
            </w:r>
          </w:p>
        </w:tc>
        <w:tc>
          <w:tcPr/>
          <w:p>
            <w:pPr>
              <w:pStyle w:val="Compact"/>
              <w:jc w:val="left"/>
            </w:pPr>
            <w:r>
              <w:t xml:space="preserve">Developmental delay, anemia; risk elevated in vegetarian/vegan pregnancies</w:t>
            </w:r>
          </w:p>
        </w:tc>
      </w:tr>
    </w:tbl>
    <w:bookmarkEnd w:id="80"/>
    <w:bookmarkStart w:id="81" w:name="X01b12caf36de5e5fbd26818ffdb5522542869cf"/>
    <w:p>
      <w:pPr>
        <w:pStyle w:val="4"/>
      </w:pPr>
      <w:r>
        <w:t xml:space="preserve">3.4.3 Energy Increment: 200 kcal/day Additional Intake</w:t>
      </w:r>
    </w:p>
    <w:p>
      <w:pPr>
        <w:pStyle w:val="FirstParagraph"/>
      </w:pPr>
      <w:r>
        <w:t xml:space="preserve">The</w:t>
      </w:r>
      <w:r>
        <w:t xml:space="preserve"> </w:t>
      </w:r>
      <w:r>
        <w:rPr>
          <w:b/>
          <w:bCs/>
        </w:rPr>
        <w:t xml:space="preserve">energy costs of pregnancy, while substantial in aggregate, are distributed unevenly across gestation</w:t>
      </w:r>
      <w:r>
        <w:t xml:space="preserve"> </w:t>
      </w:r>
      <w:r>
        <w:t xml:space="preserve">and do not necessitate dramatic increases in caloric intake. The</w:t>
      </w:r>
      <w:r>
        <w:t xml:space="preserve"> </w:t>
      </w:r>
      <w:r>
        <w:rPr>
          <w:b/>
          <w:bCs/>
        </w:rPr>
        <w:t xml:space="preserve">first trimester requires minimal additional energy</w:t>
      </w:r>
      <w:r>
        <w:t xml:space="preserve">, while the</w:t>
      </w:r>
      <w:r>
        <w:t xml:space="preserve"> </w:t>
      </w:r>
      <w:r>
        <w:rPr>
          <w:b/>
          <w:bCs/>
        </w:rPr>
        <w:t xml:space="preserve">second and third trimesters each demand approximately 340 and 452 kcal/day, respectively</w:t>
      </w:r>
      <w:r>
        <w:t xml:space="preserve">, above pre-pregnancy requirements—often simplified to a</w:t>
      </w:r>
      <w:r>
        <w:t xml:space="preserve"> </w:t>
      </w:r>
      <w:r>
        <w:rPr>
          <w:b/>
          <w:bCs/>
        </w:rPr>
        <w:t xml:space="preserve">general recommendation of 200–300 additional kcal/day throughout pregnancy</w:t>
      </w:r>
      <w:r>
        <w:t xml:space="preserve">. This modest increment reflects the</w:t>
      </w:r>
      <w:r>
        <w:t xml:space="preserve"> </w:t>
      </w:r>
      <w:r>
        <w:rPr>
          <w:b/>
          <w:bCs/>
        </w:rPr>
        <w:t xml:space="preserve">remarkable metabolic adaptations of pregnancy</w:t>
      </w:r>
      <w:r>
        <w:t xml:space="preserve">, including enhanced nutrient absorption efficiency, reduced physical activity in many women, and preferential nutrient partitioning to fetal compartments. The</w:t>
      </w:r>
      <w:r>
        <w:t xml:space="preserve"> </w:t>
      </w:r>
      <w:r>
        <w:rPr>
          <w:b/>
          <w:bCs/>
        </w:rPr>
        <w:t xml:space="preserve">quality of additional calories assumes equal or greater importance than quantity</w:t>
      </w:r>
      <w:r>
        <w:t xml:space="preserve">, with emphasis on nutrient-dense foods rather than empty calories.</w:t>
      </w:r>
      <w:r>
        <w:t xml:space="preserve"> </w:t>
      </w:r>
      <w:r>
        <w:rPr>
          <w:b/>
          <w:bCs/>
        </w:rPr>
        <w:t xml:space="preserve">Excessive gestational weight gain</w:t>
      </w:r>
      <w:r>
        <w:t xml:space="preserve">, defined by Institute of Medicine guidelines based on pre-pregnancy BMI category,</w:t>
      </w:r>
      <w:r>
        <w:t xml:space="preserve"> </w:t>
      </w:r>
      <w:r>
        <w:rPr>
          <w:b/>
          <w:bCs/>
        </w:rPr>
        <w:t xml:space="preserve">increases risks of gestational diabetes, hypertensive disorders, cesarean delivery, macrosomia, and subsequent maternal and child obesity</w:t>
      </w:r>
      <w:r>
        <w:t xml:space="preserve">.</w:t>
      </w:r>
    </w:p>
    <w:bookmarkEnd w:id="81"/>
    <w:bookmarkStart w:id="82" w:name="Xe4001a9211719af7c63b9ed33caf655b2533526"/>
    <w:p>
      <w:pPr>
        <w:pStyle w:val="4"/>
      </w:pPr>
      <w:r>
        <w:t xml:space="preserve">3.4.4 Emerging Research: Protein Needs 39–73% Higher Than Current RDA</w:t>
      </w:r>
    </w:p>
    <w:p>
      <w:pPr>
        <w:pStyle w:val="FirstParagraph"/>
      </w:pPr>
      <w:r>
        <w:t xml:space="preserve">As referenced in section 3.4.1,</w:t>
      </w:r>
      <w:r>
        <w:t xml:space="preserve"> </w:t>
      </w:r>
      <w:r>
        <w:rPr>
          <w:b/>
          <w:bCs/>
        </w:rPr>
        <w:t xml:space="preserve">emerging research employing more sophisticated metabolic tracer methodologies suggests that current protein recommendations during pregnancy may substantially underestimate true physiological requirements</w:t>
      </w:r>
      <w:r>
        <w:t xml:space="preserve">. The</w:t>
      </w:r>
      <w:r>
        <w:t xml:space="preserve"> </w:t>
      </w:r>
      <w:r>
        <w:rPr>
          <w:b/>
          <w:bCs/>
        </w:rPr>
        <w:t xml:space="preserve">indicator amino acid oxidation technique</w:t>
      </w:r>
      <w:r>
        <w:t xml:space="preserve">, which measures the balance between amino acid oxidation and incorporation into body proteins, has yielded</w:t>
      </w:r>
      <w:r>
        <w:t xml:space="preserve"> </w:t>
      </w:r>
      <w:r>
        <w:rPr>
          <w:b/>
          <w:bCs/>
        </w:rPr>
        <w:t xml:space="preserve">estimates of 1.9 g/kg/day for late pregnancy—far exceeding the current RDA-derived values</w:t>
      </w:r>
      <w:r>
        <w:t xml:space="preserve">. If validated through additional studies and adopted in future guidelines, this would represent</w:t>
      </w:r>
      <w:r>
        <w:t xml:space="preserve"> </w:t>
      </w:r>
      <w:r>
        <w:rPr>
          <w:b/>
          <w:bCs/>
        </w:rPr>
        <w:t xml:space="preserve">one of the most significant revisions to pregnancy nutrition recommendations in decades</w:t>
      </w:r>
      <w:r>
        <w:t xml:space="preserve">. The practical implications would include</w:t>
      </w:r>
      <w:r>
        <w:t xml:space="preserve"> </w:t>
      </w:r>
      <w:r>
        <w:rPr>
          <w:b/>
          <w:bCs/>
        </w:rPr>
        <w:t xml:space="preserve">increased emphasis on protein-rich foods in prenatal counseling</w:t>
      </w:r>
      <w:r>
        <w:t xml:space="preserve">, potential revision of food assistance program allocations, and reassessment of protein adequacy in populations where dietary quality is constrained by economic or environmental factors. This emerging evidence exemplifies the</w:t>
      </w:r>
      <w:r>
        <w:t xml:space="preserve"> </w:t>
      </w:r>
      <w:r>
        <w:rPr>
          <w:b/>
          <w:bCs/>
        </w:rPr>
        <w:t xml:space="preserve">dynamic nature of nutritional science</w:t>
      </w:r>
      <w:r>
        <w:t xml:space="preserve"> </w:t>
      </w:r>
      <w:r>
        <w:t xml:space="preserve">and the importance of continued research investment to refine recommendations based on advancing methodological capabilities.</w:t>
      </w:r>
    </w:p>
    <w:bookmarkEnd w:id="82"/>
    <w:bookmarkEnd w:id="83"/>
    <w:bookmarkStart w:id="90" w:name="older-adults-51-years"/>
    <w:p>
      <w:pPr>
        <w:pStyle w:val="3"/>
      </w:pPr>
      <w:r>
        <w:t xml:space="preserve">3.5 Older Adults (51+ Years)</w:t>
      </w:r>
    </w:p>
    <w:bookmarkStart w:id="84" w:name="Xad228e2bfbe09c20a915f6b9639a576639ec082"/>
    <w:p>
      <w:pPr>
        <w:pStyle w:val="4"/>
      </w:pPr>
      <w:r>
        <w:t xml:space="preserve">3.5.1 Reduced Energy Needs with Preserved Nutrient Density Requirements</w:t>
      </w:r>
    </w:p>
    <w:p>
      <w:pPr>
        <w:pStyle w:val="FirstParagraph"/>
      </w:pPr>
      <w:r>
        <w:t xml:space="preserve">The nutritional landscape of older adulthood is characterized by a</w:t>
      </w:r>
      <w:r>
        <w:t xml:space="preserve"> </w:t>
      </w:r>
      <w:r>
        <w:rPr>
          <w:b/>
          <w:bCs/>
        </w:rPr>
        <w:t xml:space="preserve">fundamental paradox: declining energy requirements concurrent with maintained or elevated needs for many essential nutrients</w:t>
      </w:r>
      <w:r>
        <w:t xml:space="preserve">, creating a challenge of achieving nutritional adequacy within constrained caloric budgets.</w:t>
      </w:r>
      <w:r>
        <w:t xml:space="preserve"> </w:t>
      </w:r>
      <w:r>
        <w:rPr>
          <w:b/>
          <w:bCs/>
        </w:rPr>
        <w:t xml:space="preserve">Basal metabolic rate declines approximately 2–3% per decade after age 20</w:t>
      </w:r>
      <w:r>
        <w:t xml:space="preserve">, attributable primarily to</w:t>
      </w:r>
      <w:r>
        <w:t xml:space="preserve"> </w:t>
      </w:r>
      <w:r>
        <w:rPr>
          <w:b/>
          <w:bCs/>
        </w:rPr>
        <w:t xml:space="preserve">loss of lean body mass (sarcopenia)</w:t>
      </w:r>
      <w:r>
        <w:t xml:space="preserve">, with total energy expenditure in adults over 70 years typically</w:t>
      </w:r>
      <w:r>
        <w:t xml:space="preserve"> </w:t>
      </w:r>
      <w:r>
        <w:rPr>
          <w:b/>
          <w:bCs/>
        </w:rPr>
        <w:t xml:space="preserve">20–30% lower than in young adults</w:t>
      </w:r>
      <w:r>
        <w:t xml:space="preserve">. According to current federal dietary guidelines,</w:t>
      </w:r>
      <w:r>
        <w:t xml:space="preserve"> </w:t>
      </w:r>
      <w:r>
        <w:rPr>
          <w:b/>
          <w:bCs/>
        </w:rPr>
        <w:t xml:space="preserve">women aged 60 and older require between 1,600 and 2,200 calories per day, while men in this age group require 2,000 to 2,600 calories per day</w:t>
      </w:r>
      <w:r>
        <w:t xml:space="preserve">—substantially less than younger adults</w:t>
      </w:r>
      <w:r>
        <w:t xml:space="preserve"> </w:t>
      </w:r>
      <w:hyperlink r:id="rId48">
        <w:r>
          <w:rPr>
            <w:rStyle w:val="af"/>
          </w:rPr>
          <w:t xml:space="preserve">(American Heart Association)</w:t>
        </w:r>
      </w:hyperlink>
      <w:r>
        <w:t xml:space="preserve"> </w:t>
      </w:r>
      <w:r>
        <w:t xml:space="preserve">. This energy reduction, if accompanied by proportional reduction in food intake without strategic selection of nutrient-dense options,</w:t>
      </w:r>
      <w:r>
        <w:t xml:space="preserve"> </w:t>
      </w:r>
      <w:r>
        <w:rPr>
          <w:b/>
          <w:bCs/>
        </w:rPr>
        <w:t xml:space="preserve">risks multiple micronutrient deficiencies</w:t>
      </w:r>
      <w:r>
        <w:t xml:space="preserve">. The concept of</w:t>
      </w:r>
      <w:r>
        <w:t xml:space="preserve"> </w:t>
      </w:r>
      <w:r>
        <w:rPr>
          <w:b/>
          <w:bCs/>
        </w:rPr>
        <w:t xml:space="preserve">“</w:t>
      </w:r>
      <w:r>
        <w:rPr>
          <w:b/>
          <w:bCs/>
        </w:rPr>
        <w:t xml:space="preserve">nutrient density</w:t>
      </w:r>
      <w:r>
        <w:rPr>
          <w:b/>
          <w:bCs/>
        </w:rPr>
        <w:t xml:space="preserve">”</w:t>
      </w:r>
      <w:r>
        <w:rPr>
          <w:b/>
          <w:bCs/>
        </w:rPr>
        <w:t xml:space="preserve">—maximizing vitamins, minerals, and other beneficial constituents per calorie—becomes paramount for older adults</w:t>
      </w:r>
      <w:r>
        <w:t xml:space="preserve">, directing food choices toward vegetables, fruits, whole grains, lean proteins, and low-fat dairy while minimizing empty calories from added sugars and solid fats</w:t>
      </w:r>
      <w:r>
        <w:t xml:space="preserve"> </w:t>
      </w:r>
      <w:hyperlink r:id="rId48">
        <w:r>
          <w:rPr>
            <w:rStyle w:val="af"/>
          </w:rPr>
          <w:t xml:space="preserve">(American Heart Association)</w:t>
        </w:r>
      </w:hyperlink>
      <w:r>
        <w:t xml:space="preserve"> </w:t>
      </w:r>
      <w:r>
        <w:t xml:space="preserve">.</w:t>
      </w:r>
    </w:p>
    <w:bookmarkEnd w:id="84"/>
    <w:bookmarkStart w:id="85" w:name="X87fe465b58b9dc48b966935eee5ce53a703d2b8"/>
    <w:p>
      <w:pPr>
        <w:pStyle w:val="4"/>
      </w:pPr>
      <w:r>
        <w:t xml:space="preserve">3.5.2 Vitamin D Escalation: 400 IU (51–70 Years) to 600 IU (&gt;70 Years)</w:t>
      </w:r>
    </w:p>
    <w:p>
      <w:pPr>
        <w:pStyle w:val="FirstParagraph"/>
      </w:pPr>
      <w:r>
        <w:rPr>
          <w:b/>
          <w:bCs/>
        </w:rPr>
        <w:t xml:space="preserve">Vitamin D status represents a particular concern in older populations</w:t>
      </w:r>
      <w:r>
        <w:t xml:space="preserve"> </w:t>
      </w:r>
      <w:r>
        <w:t xml:space="preserve">due to the convergence of</w:t>
      </w:r>
      <w:r>
        <w:t xml:space="preserve"> </w:t>
      </w:r>
      <w:r>
        <w:rPr>
          <w:b/>
          <w:bCs/>
        </w:rPr>
        <w:t xml:space="preserve">reduced cutaneous synthesis capacity, decreased outdoor activity, diminished renal 1α-hydroxylase activity, and potential malabsorption</w:t>
      </w:r>
      <w:r>
        <w:t xml:space="preserve">. The</w:t>
      </w:r>
      <w:r>
        <w:t xml:space="preserve"> </w:t>
      </w:r>
      <w:r>
        <w:rPr>
          <w:b/>
          <w:bCs/>
        </w:rPr>
        <w:t xml:space="preserve">recommended dietary allowance increases from 200 IU (5 micrograms) daily for adults aged 19–50, to 400 IU (10 micrograms) for ages 51–70, and 600 IU (15 micrograms) for those over 70</w:t>
      </w:r>
      <w:r>
        <w:t xml:space="preserve"> </w:t>
      </w:r>
      <w:hyperlink r:id="rId29">
        <w:r>
          <w:rPr>
            <w:rStyle w:val="af"/>
          </w:rPr>
          <w:t xml:space="preserve">(OpenLearn)</w:t>
        </w:r>
      </w:hyperlink>
      <w:r>
        <w:t xml:space="preserve"> </w:t>
      </w:r>
      <w:r>
        <w:t xml:space="preserve">. These increments address the approximately 50% reduction in skin vitamin D synthesis efficiency between ages 20 and 70, compounded by reduced outdoor activity and institutionalization in older populations.</w:t>
      </w:r>
      <w:r>
        <w:t xml:space="preserve"> </w:t>
      </w:r>
      <w:r>
        <w:rPr>
          <w:b/>
          <w:bCs/>
        </w:rPr>
        <w:t xml:space="preserve">Fatty fish such as trout, salmon, tuna, and mackerel constitute among the best dietary sources</w:t>
      </w:r>
      <w:r>
        <w:t xml:space="preserve">, with 3 ounces of cooked salmon providing approximately 14.2 micrograms (570 IU) of vitamin D.</w:t>
      </w:r>
      <w:r>
        <w:t xml:space="preserve"> </w:t>
      </w:r>
      <w:r>
        <w:rPr>
          <w:b/>
          <w:bCs/>
        </w:rPr>
        <w:t xml:space="preserve">Fortified foods, particularly milk (2.9 micrograms per cup of fortified 2% milk), serve as primary vitamin D sources</w:t>
      </w:r>
      <w:r>
        <w:t xml:space="preserve"> </w:t>
      </w:r>
      <w:r>
        <w:t xml:space="preserve">for many older adults</w:t>
      </w:r>
      <w:r>
        <w:t xml:space="preserve"> </w:t>
      </w:r>
      <w:hyperlink r:id="rId48">
        <w:r>
          <w:rPr>
            <w:rStyle w:val="af"/>
          </w:rPr>
          <w:t xml:space="preserve">(American Heart Association)</w:t>
        </w:r>
      </w:hyperlink>
      <w:r>
        <w:t xml:space="preserve"> </w:t>
      </w:r>
      <w:r>
        <w:t xml:space="preserve">. Despite these recommendations,</w:t>
      </w:r>
      <w:r>
        <w:t xml:space="preserve"> </w:t>
      </w:r>
      <w:r>
        <w:rPr>
          <w:b/>
          <w:bCs/>
        </w:rPr>
        <w:t xml:space="preserve">vitamin D insufficiency affects approximately 40–50% of community-dwelling older adults</w:t>
      </w:r>
      <w:r>
        <w:t xml:space="preserve"> </w:t>
      </w:r>
      <w:r>
        <w:t xml:space="preserve">in temperate climates, with even higher prevalence in institutionalized populations, contributing to</w:t>
      </w:r>
      <w:r>
        <w:t xml:space="preserve"> </w:t>
      </w:r>
      <w:r>
        <w:rPr>
          <w:b/>
          <w:bCs/>
        </w:rPr>
        <w:t xml:space="preserve">increased fall and fracture risk, muscle weakness, and potentially accelerated cognitive decline</w:t>
      </w:r>
      <w:r>
        <w:t xml:space="preserve">.</w:t>
      </w:r>
    </w:p>
    <w:bookmarkEnd w:id="85"/>
    <w:bookmarkStart w:id="86" w:name="X6aa267034c53e8d7a635f812333a527da25cf8c"/>
    <w:p>
      <w:pPr>
        <w:pStyle w:val="4"/>
      </w:pPr>
      <w:r>
        <w:t xml:space="preserve">3.5.3 Iron Reduction in Postmenopausal Women: 18 mg to 8 mg</w:t>
      </w:r>
    </w:p>
    <w:p>
      <w:pPr>
        <w:pStyle w:val="FirstParagraph"/>
      </w:pPr>
      <w:r>
        <w:t xml:space="preserve">The</w:t>
      </w:r>
      <w:r>
        <w:t xml:space="preserve"> </w:t>
      </w:r>
      <w:r>
        <w:rPr>
          <w:b/>
          <w:bCs/>
        </w:rPr>
        <w:t xml:space="preserve">cessation of menstrual blood loss at menopause fundamentally alters iron requirements for women</w:t>
      </w:r>
      <w:r>
        <w:t xml:space="preserve">, with recommended intake</w:t>
      </w:r>
      <w:r>
        <w:t xml:space="preserve"> </w:t>
      </w:r>
      <w:r>
        <w:rPr>
          <w:b/>
          <w:bCs/>
        </w:rPr>
        <w:t xml:space="preserve">decreasing from 18 mg/day to 8 mg/day—the same as adult men</w:t>
      </w:r>
      <w:r>
        <w:t xml:space="preserve">. This reduction reflects the</w:t>
      </w:r>
      <w:r>
        <w:t xml:space="preserve"> </w:t>
      </w:r>
      <w:r>
        <w:rPr>
          <w:b/>
          <w:bCs/>
        </w:rPr>
        <w:t xml:space="preserve">substantially decreased iron losses in postmenopausal women</w:t>
      </w:r>
      <w:r>
        <w:t xml:space="preserve"> </w:t>
      </w:r>
      <w:r>
        <w:t xml:space="preserve">and acknowledges the</w:t>
      </w:r>
      <w:r>
        <w:t xml:space="preserve"> </w:t>
      </w:r>
      <w:r>
        <w:rPr>
          <w:b/>
          <w:bCs/>
        </w:rPr>
        <w:t xml:space="preserve">potential risks of excessive iron accumulation</w:t>
      </w:r>
      <w:r>
        <w:t xml:space="preserve">, including increased oxidative stress and possible associations with cardiovascular disease and certain cancers. However,</w:t>
      </w:r>
      <w:r>
        <w:t xml:space="preserve"> </w:t>
      </w:r>
      <w:r>
        <w:rPr>
          <w:b/>
          <w:bCs/>
        </w:rPr>
        <w:t xml:space="preserve">iron deficiency may still occur in older adults</w:t>
      </w:r>
      <w:r>
        <w:t xml:space="preserve"> </w:t>
      </w:r>
      <w:r>
        <w:t xml:space="preserve">due to gastrointestinal blood loss (from medications such as NSAIDs and anticoagulants, or from underlying pathology including malignancy), malabsorption (atrophic gastritis, celiac disease), or inadequate dietary intake.</w:t>
      </w:r>
      <w:r>
        <w:t xml:space="preserve"> </w:t>
      </w:r>
      <w:r>
        <w:rPr>
          <w:b/>
          <w:bCs/>
        </w:rPr>
        <w:t xml:space="preserve">The evaluation of iron deficiency in older adults warrants particular attention to occult blood loss and underlying gastrointestinal pathology</w:t>
      </w:r>
      <w:r>
        <w:t xml:space="preserve">, with unexplained iron deficiency anemia mandating appropriate diagnostic workup rather than simple supplementation.</w:t>
      </w:r>
    </w:p>
    <w:bookmarkEnd w:id="86"/>
    <w:bookmarkStart w:id="87" w:name="Xe26439fd1e6bb76e92f1ee0e26c8754cd25d89d"/>
    <w:p>
      <w:pPr>
        <w:pStyle w:val="4"/>
      </w:pPr>
      <w:r>
        <w:t xml:space="preserve">3.5.4 Protein Needs: Combating Sarcopenia and Anabolic Resistance</w:t>
      </w:r>
    </w:p>
    <w:p>
      <w:pPr>
        <w:pStyle w:val="FirstParagraph"/>
      </w:pPr>
      <w:r>
        <w:rPr>
          <w:b/>
          <w:bCs/>
        </w:rPr>
        <w:t xml:space="preserve">Sarcopenia—the age-related loss of skeletal muscle mass and function—represents one of the most significant threats to independence and quality of life in older adults</w:t>
      </w:r>
      <w:r>
        <w:t xml:space="preserve">, with prevalence estimates of</w:t>
      </w:r>
      <w:r>
        <w:t xml:space="preserve"> </w:t>
      </w:r>
      <w:r>
        <w:rPr>
          <w:b/>
          <w:bCs/>
        </w:rPr>
        <w:t xml:space="preserve">10–27% in community-dwelling older populations</w:t>
      </w:r>
      <w:r>
        <w:t xml:space="preserve">. The pathophysiology involves</w:t>
      </w:r>
      <w:r>
        <w:t xml:space="preserve"> </w:t>
      </w:r>
      <w:r>
        <w:rPr>
          <w:b/>
          <w:bCs/>
        </w:rPr>
        <w:t xml:space="preserve">decreased muscle protein synthesis responsiveness to anabolic stimuli</w:t>
      </w:r>
      <w:r>
        <w:t xml:space="preserve"> </w:t>
      </w:r>
      <w:r>
        <w:t xml:space="preserve">(particularly dietary protein and resistance exercise), termed</w:t>
      </w:r>
      <w:r>
        <w:t xml:space="preserve"> </w:t>
      </w:r>
      <w:r>
        <w:rPr>
          <w:b/>
          <w:bCs/>
        </w:rPr>
        <w:t xml:space="preserve">“</w:t>
      </w:r>
      <w:r>
        <w:rPr>
          <w:b/>
          <w:bCs/>
        </w:rPr>
        <w:t xml:space="preserve">anabolic resistance,</w:t>
      </w:r>
      <w:r>
        <w:rPr>
          <w:b/>
          <w:bCs/>
        </w:rPr>
        <w:t xml:space="preserve">”</w:t>
      </w:r>
      <w:r>
        <w:t xml:space="preserve"> </w:t>
      </w:r>
      <w:r>
        <w:t xml:space="preserve">alongside increased proteolysis, hormonal changes (declining testosterone, growth hormone, IGF-1), chronic inflammation, and reduced physical activity. Research demonstrates that</w:t>
      </w:r>
      <w:r>
        <w:t xml:space="preserve"> </w:t>
      </w:r>
      <w:r>
        <w:rPr>
          <w:b/>
          <w:bCs/>
        </w:rPr>
        <w:t xml:space="preserve">older adults require higher per-meal protein doses (25–30 grams, compared to 20 grams for younger adults) to maximally stimulate muscle protein synthesis</w:t>
      </w:r>
      <w:r>
        <w:t xml:space="preserve">, with</w:t>
      </w:r>
      <w:r>
        <w:t xml:space="preserve"> </w:t>
      </w:r>
      <w:r>
        <w:rPr>
          <w:b/>
          <w:bCs/>
        </w:rPr>
        <w:t xml:space="preserve">leucine content of particular importance as the primary anabolic signaling amino acid</w:t>
      </w:r>
      <w:r>
        <w:t xml:space="preserve">.</w:t>
      </w:r>
    </w:p>
    <w:p>
      <w:pPr>
        <w:pStyle w:val="a0"/>
      </w:pPr>
      <w:r>
        <w:t xml:space="preserve">Despite these elevated needs,</w:t>
      </w:r>
      <w:r>
        <w:t xml:space="preserve"> </w:t>
      </w:r>
      <w:r>
        <w:rPr>
          <w:b/>
          <w:bCs/>
        </w:rPr>
        <w:t xml:space="preserve">protein intake frequently declines with age</w:t>
      </w:r>
      <w:r>
        <w:t xml:space="preserve"> </w:t>
      </w:r>
      <w:r>
        <w:t xml:space="preserve">due to reduced appetite, dental problems, economic constraints, and misconceptions about protein’s effects on kidney function. The Dietary Guidelines recommend</w:t>
      </w:r>
      <w:r>
        <w:t xml:space="preserve"> </w:t>
      </w:r>
      <w:r>
        <w:rPr>
          <w:b/>
          <w:bCs/>
        </w:rPr>
        <w:t xml:space="preserve">5–6.5 ounces of protein foods daily for older adults</w:t>
      </w:r>
      <w:r>
        <w:t xml:space="preserve">, yet average intake in adults over 71 years is approximately 4.5 ounces, with</w:t>
      </w:r>
      <w:r>
        <w:t xml:space="preserve"> </w:t>
      </w:r>
      <w:r>
        <w:rPr>
          <w:b/>
          <w:bCs/>
        </w:rPr>
        <w:t xml:space="preserve">about half of women and 30% of men in this age group failing to meet recommendations</w:t>
      </w:r>
      <w:r>
        <w:t xml:space="preserve"> </w:t>
      </w:r>
      <w:hyperlink r:id="rId48">
        <w:r>
          <w:rPr>
            <w:rStyle w:val="af"/>
          </w:rPr>
          <w:t xml:space="preserve">(American Heart Association)</w:t>
        </w:r>
      </w:hyperlink>
      <w:r>
        <w:t xml:space="preserve"> </w:t>
      </w:r>
      <w:r>
        <w:t xml:space="preserve">. Notably,</w:t>
      </w:r>
      <w:r>
        <w:t xml:space="preserve"> </w:t>
      </w:r>
      <w:r>
        <w:rPr>
          <w:b/>
          <w:bCs/>
        </w:rPr>
        <w:t xml:space="preserve">disparities exist by race and ethnicity</w:t>
      </w:r>
      <w:r>
        <w:t xml:space="preserve">, with</w:t>
      </w:r>
      <w:r>
        <w:t xml:space="preserve"> </w:t>
      </w:r>
      <w:r>
        <w:rPr>
          <w:b/>
          <w:bCs/>
        </w:rPr>
        <w:t xml:space="preserve">Black adults least likely to meet protein requirements across all age groups, and this gap widening in older age</w:t>
      </w:r>
      <w:r>
        <w:t xml:space="preserve"> </w:t>
      </w:r>
      <w:hyperlink r:id="rId48">
        <w:r>
          <w:rPr>
            <w:rStyle w:val="af"/>
          </w:rPr>
          <w:t xml:space="preserve">(American Heart Association)</w:t>
        </w:r>
      </w:hyperlink>
      <w:r>
        <w:t xml:space="preserve"> </w:t>
      </w:r>
      <w:r>
        <w:t xml:space="preserve">. Addressing these disparities requires targeted interventions addressing food access, cultural food preferences, and nutrition education.</w:t>
      </w:r>
    </w:p>
    <w:bookmarkEnd w:id="87"/>
    <w:bookmarkStart w:id="88" w:name="X4799eb5f994a5a7d6507381abbfabdeac2fd355"/>
    <w:p>
      <w:pPr>
        <w:pStyle w:val="4"/>
      </w:pPr>
      <w:r>
        <w:t xml:space="preserve">3.5.5 Barriers to Adequate Nutrition: Dentition, Dysphagia, Polypharmacy, Cognitive Decline</w:t>
      </w:r>
    </w:p>
    <w:p>
      <w:pPr>
        <w:pStyle w:val="FirstParagraph"/>
      </w:pPr>
      <w:r>
        <w:rPr>
          <w:b/>
          <w:bCs/>
        </w:rPr>
        <w:t xml:space="preserve">Multiple intersecting factors compromise nutritional status in older adults beyond simple physiological changes</w:t>
      </w:r>
      <w:r>
        <w:t xml:space="preserve">:</w:t>
      </w:r>
    </w:p>
    <w:tbl>
      <w:tblPr>
        <w:tblStyle w:val="Table"/>
        <w:tblW w:type="pct" w:w="5000"/>
        <w:jc w:val="left"/>
        <w:tblLayout w:type="fixed"/>
        <w:tblLook w:firstRow="1" w:lastRow="0" w:firstColumn="0" w:lastColumn="0" w:noHBand="0" w:noVBand="0" w:val="0020"/>
      </w:tblPr>
      <w:tblGrid>
        <w:gridCol w:w="856"/>
        <w:gridCol w:w="1926"/>
        <w:gridCol w:w="2568"/>
        <w:gridCol w:w="2568"/>
      </w:tblGrid>
      <w:tr>
        <w:trPr>
          <w:tblHeader w:val="on"/>
        </w:trPr>
        <w:tc>
          <w:tcPr/>
          <w:p>
            <w:pPr>
              <w:pStyle w:val="Compact"/>
              <w:jc w:val="left"/>
            </w:pPr>
            <w:r>
              <w:t xml:space="preserve">Barrier</w:t>
            </w:r>
          </w:p>
        </w:tc>
        <w:tc>
          <w:tcPr/>
          <w:p>
            <w:pPr>
              <w:pStyle w:val="Compact"/>
              <w:jc w:val="left"/>
            </w:pPr>
            <w:r>
              <w:t xml:space="preserve">Prevalence/Impact</w:t>
            </w:r>
          </w:p>
        </w:tc>
        <w:tc>
          <w:tcPr/>
          <w:p>
            <w:pPr>
              <w:pStyle w:val="Compact"/>
              <w:jc w:val="left"/>
            </w:pPr>
            <w:r>
              <w:t xml:space="preserve">Nutritional Consequences</w:t>
            </w:r>
          </w:p>
        </w:tc>
        <w:tc>
          <w:tcPr/>
          <w:p>
            <w:pPr>
              <w:pStyle w:val="Compact"/>
              <w:jc w:val="left"/>
            </w:pPr>
            <w:r>
              <w:t xml:space="preserve">Intervention Strategies</w:t>
            </w:r>
          </w:p>
        </w:tc>
      </w:tr>
      <w:tr>
        <w:tc>
          <w:tcPr/>
          <w:p>
            <w:pPr>
              <w:pStyle w:val="Compact"/>
              <w:jc w:val="left"/>
            </w:pPr>
            <w:r>
              <w:rPr>
                <w:b/>
                <w:bCs/>
              </w:rPr>
              <w:t xml:space="preserve">Dental problems</w:t>
            </w:r>
          </w:p>
        </w:tc>
        <w:tc>
          <w:tcPr/>
          <w:p>
            <w:pPr>
              <w:pStyle w:val="Compact"/>
              <w:jc w:val="left"/>
            </w:pPr>
            <w:r>
              <w:t xml:space="preserve">Tooth loss, periodontal disease, ill-fitting dentures, xerostomia (dry mouth, often medication-induced)</w:t>
            </w:r>
          </w:p>
        </w:tc>
        <w:tc>
          <w:tcPr/>
          <w:p>
            <w:pPr>
              <w:pStyle w:val="Compact"/>
              <w:jc w:val="left"/>
            </w:pPr>
            <w:r>
              <w:t xml:space="preserve">Avoidance of hard, fibrous, or tough foods (raw vegetables, meats, whole grains); reduced meal enjoyment</w:t>
            </w:r>
          </w:p>
        </w:tc>
        <w:tc>
          <w:tcPr/>
          <w:p>
            <w:pPr>
              <w:pStyle w:val="Compact"/>
              <w:jc w:val="left"/>
            </w:pPr>
            <w:r>
              <w:t xml:space="preserve">Regular dental care; soft food preparation; texture modification while preserving nutrient density</w:t>
            </w:r>
          </w:p>
        </w:tc>
      </w:tr>
      <w:tr>
        <w:tc>
          <w:tcPr/>
          <w:p>
            <w:pPr>
              <w:pStyle w:val="Compact"/>
              <w:jc w:val="left"/>
            </w:pPr>
            <w:r>
              <w:rPr>
                <w:b/>
                <w:bCs/>
              </w:rPr>
              <w:t xml:space="preserve">Dysphagia</w:t>
            </w:r>
          </w:p>
        </w:tc>
        <w:tc>
          <w:tcPr/>
          <w:p>
            <w:pPr>
              <w:pStyle w:val="Compact"/>
              <w:jc w:val="left"/>
            </w:pPr>
            <w:r>
              <w:t xml:space="preserve">10–30% of older adults, particularly with neurological conditions (stroke, Parkinson’s disease, dementia)</w:t>
            </w:r>
          </w:p>
        </w:tc>
        <w:tc>
          <w:tcPr/>
          <w:p>
            <w:pPr>
              <w:pStyle w:val="Compact"/>
              <w:jc w:val="left"/>
            </w:pPr>
            <w:r>
              <w:t xml:space="preserve">Texture-modified diets may reduce nutritional quality and palatability; aspiration risk</w:t>
            </w:r>
          </w:p>
        </w:tc>
        <w:tc>
          <w:tcPr/>
          <w:p>
            <w:pPr>
              <w:pStyle w:val="Compact"/>
              <w:jc w:val="left"/>
            </w:pPr>
            <w:r>
              <w:t xml:space="preserve">Swallowing therapy; appropriately thickened liquids; nutrient fortification of modified textures</w:t>
            </w:r>
          </w:p>
        </w:tc>
      </w:tr>
      <w:tr>
        <w:tc>
          <w:tcPr/>
          <w:p>
            <w:pPr>
              <w:pStyle w:val="Compact"/>
              <w:jc w:val="left"/>
            </w:pPr>
            <w:r>
              <w:rPr>
                <w:b/>
                <w:bCs/>
              </w:rPr>
              <w:t xml:space="preserve">Polypharmacy</w:t>
            </w:r>
          </w:p>
        </w:tc>
        <w:tc>
          <w:tcPr/>
          <w:p>
            <w:pPr>
              <w:pStyle w:val="Compact"/>
              <w:jc w:val="left"/>
            </w:pPr>
            <w:r>
              <w:t xml:space="preserve">Five or more medications affects majority of adults over 65</w:t>
            </w:r>
          </w:p>
        </w:tc>
        <w:tc>
          <w:tcPr/>
          <w:p>
            <w:pPr>
              <w:pStyle w:val="Compact"/>
              <w:jc w:val="left"/>
            </w:pPr>
            <w:r>
              <w:t xml:space="preserve">Appetite suppression (psychotropics, cardiovascular meds); nutrient malabsorption (PPIs reducing B12, magnesium); altered taste perception; drug-nutrient interactions</w:t>
            </w:r>
          </w:p>
        </w:tc>
        <w:tc>
          <w:tcPr/>
          <w:p>
            <w:pPr>
              <w:pStyle w:val="Compact"/>
              <w:jc w:val="left"/>
            </w:pPr>
            <w:r>
              <w:t xml:space="preserve">Medication review; timing of medications relative to meals; targeted supplementation for known interactions</w:t>
            </w:r>
          </w:p>
        </w:tc>
      </w:tr>
      <w:tr>
        <w:tc>
          <w:tcPr/>
          <w:p>
            <w:pPr>
              <w:pStyle w:val="Compact"/>
              <w:jc w:val="left"/>
            </w:pPr>
            <w:r>
              <w:rPr>
                <w:b/>
                <w:bCs/>
              </w:rPr>
              <w:t xml:space="preserve">Cognitive decline/dementia</w:t>
            </w:r>
          </w:p>
        </w:tc>
        <w:tc>
          <w:tcPr/>
          <w:p>
            <w:pPr>
              <w:pStyle w:val="Compact"/>
              <w:jc w:val="left"/>
            </w:pPr>
            <w:r>
              <w:t xml:space="preserve">Progressive impairment in planning, purchasing, preparing, consuming meals</w:t>
            </w:r>
          </w:p>
        </w:tc>
        <w:tc>
          <w:tcPr/>
          <w:p>
            <w:pPr>
              <w:pStyle w:val="Compact"/>
              <w:jc w:val="left"/>
            </w:pPr>
            <w:r>
              <w:t xml:space="preserve">Weight loss, dehydration, malnutrition; behavioral food refusal in advanced disease</w:t>
            </w:r>
          </w:p>
        </w:tc>
        <w:tc>
          <w:tcPr/>
          <w:p>
            <w:pPr>
              <w:pStyle w:val="Compact"/>
              <w:jc w:val="left"/>
            </w:pPr>
            <w:r>
              <w:t xml:space="preserve">Caregiver support; simplified meal preparation; finger foods; feeding assistance; specialized nutritional support</w:t>
            </w:r>
          </w:p>
        </w:tc>
      </w:tr>
    </w:tbl>
    <w:p>
      <w:pPr>
        <w:pStyle w:val="a0"/>
      </w:pPr>
      <w:r>
        <w:t xml:space="preserve">These converging factors contribute to the</w:t>
      </w:r>
      <w:r>
        <w:t xml:space="preserve"> </w:t>
      </w:r>
      <w:r>
        <w:rPr>
          <w:b/>
          <w:bCs/>
        </w:rPr>
        <w:t xml:space="preserve">high prevalence of malnutrition in hospitalized elderly and long-term care residents</w:t>
      </w:r>
      <w:r>
        <w:t xml:space="preserve">, with associated morbidity including</w:t>
      </w:r>
      <w:r>
        <w:t xml:space="preserve"> </w:t>
      </w:r>
      <w:r>
        <w:rPr>
          <w:b/>
          <w:bCs/>
        </w:rPr>
        <w:t xml:space="preserve">falls, pressure injuries, infections, delayed wound healing, and increased mortality</w:t>
      </w:r>
      <w:r>
        <w:t xml:space="preserve">. Comprehensive geriatric assessment addressing these modifiable barriers is essential for nutritional optimization.</w:t>
      </w:r>
    </w:p>
    <w:bookmarkEnd w:id="88"/>
    <w:bookmarkStart w:id="89" w:name="X740f55c5703bafade687fb69f3a74cc99973970"/>
    <w:p>
      <w:pPr>
        <w:pStyle w:val="4"/>
      </w:pPr>
      <w:r>
        <w:t xml:space="preserve">3.5.6 Hydration Vulnerability and Reduced Thirst Sensation</w:t>
      </w:r>
    </w:p>
    <w:p>
      <w:pPr>
        <w:pStyle w:val="FirstParagraph"/>
      </w:pPr>
      <w:r>
        <w:t xml:space="preserve">Older adults face</w:t>
      </w:r>
      <w:r>
        <w:t xml:space="preserve"> </w:t>
      </w:r>
      <w:r>
        <w:rPr>
          <w:b/>
          <w:bCs/>
        </w:rPr>
        <w:t xml:space="preserve">substantially elevated dehydration risk</w:t>
      </w:r>
      <w:r>
        <w:t xml:space="preserve"> </w:t>
      </w:r>
      <w:r>
        <w:t xml:space="preserve">due to physiological and behavioral factors that converge to reduce fluid intake and impair conservation mechanisms. The</w:t>
      </w:r>
      <w:r>
        <w:t xml:space="preserve"> </w:t>
      </w:r>
      <w:r>
        <w:rPr>
          <w:b/>
          <w:bCs/>
        </w:rPr>
        <w:t xml:space="preserve">thirst sensation, primary driver of voluntary fluid intake, becomes markedly blunted with aging</w:t>
      </w:r>
      <w:r>
        <w:t xml:space="preserve">, with older adults frequently failing to experience thirst until significant dehydration has already developed.</w:t>
      </w:r>
      <w:r>
        <w:t xml:space="preserve"> </w:t>
      </w:r>
      <w:r>
        <w:rPr>
          <w:b/>
          <w:bCs/>
        </w:rPr>
        <w:t xml:space="preserve">Renal concentrating capacity declines</w:t>
      </w:r>
      <w:r>
        <w:t xml:space="preserve">, reducing the kidney’s ability to conserve water during fluid restriction. Additionally, older adults may</w:t>
      </w:r>
      <w:r>
        <w:t xml:space="preserve"> </w:t>
      </w:r>
      <w:r>
        <w:rPr>
          <w:b/>
          <w:bCs/>
        </w:rPr>
        <w:t xml:space="preserve">consciously restrict fluid intake to manage urinary incontinence or reduce nocturia</w:t>
      </w:r>
      <w:r>
        <w:t xml:space="preserve">, particularly in institutional settings where toileting assistance may be limited. Medications including</w:t>
      </w:r>
      <w:r>
        <w:t xml:space="preserve"> </w:t>
      </w:r>
      <w:r>
        <w:rPr>
          <w:b/>
          <w:bCs/>
        </w:rPr>
        <w:t xml:space="preserve">diuretics, laxatives, and certain antihypertensives increase fluid losses</w:t>
      </w:r>
      <w:r>
        <w:t xml:space="preserve">. The consequences of dehydration in older adults extend beyond immediate discomfort to include</w:t>
      </w:r>
      <w:r>
        <w:t xml:space="preserve"> </w:t>
      </w:r>
      <w:r>
        <w:rPr>
          <w:b/>
          <w:bCs/>
        </w:rPr>
        <w:t xml:space="preserve">constipation, urinary tract infections, acute kidney injury, falls, delirium, and increased mortality</w:t>
      </w:r>
      <w:r>
        <w:t xml:space="preserve">. The Dietary Guidelines specifically recommend that older adults</w:t>
      </w:r>
      <w:r>
        <w:t xml:space="preserve"> </w:t>
      </w:r>
      <w:r>
        <w:rPr>
          <w:b/>
          <w:bCs/>
        </w:rPr>
        <w:t xml:space="preserve">drink plenty of water and other unsweetened beverages, including 100% fruit or vegetable juice and low-fat or fat-free milk or fortified soy beverages</w:t>
      </w:r>
      <w:r>
        <w:t xml:space="preserve">, with attention to</w:t>
      </w:r>
      <w:r>
        <w:t xml:space="preserve"> </w:t>
      </w:r>
      <w:r>
        <w:rPr>
          <w:b/>
          <w:bCs/>
        </w:rPr>
        <w:t xml:space="preserve">ensuring adequate fluid intake even in the absence of thirst sensation</w:t>
      </w:r>
      <w:r>
        <w:t xml:space="preserve"> </w:t>
      </w:r>
      <w:hyperlink r:id="rId48">
        <w:r>
          <w:rPr>
            <w:rStyle w:val="af"/>
          </w:rPr>
          <w:t xml:space="preserve">(American Heart Association)</w:t>
        </w:r>
      </w:hyperlink>
      <w:r>
        <w:t xml:space="preserve"> </w:t>
      </w:r>
      <w:r>
        <w:t xml:space="preserve">.</w:t>
      </w:r>
    </w:p>
    <w:bookmarkEnd w:id="89"/>
    <w:bookmarkEnd w:id="90"/>
    <w:bookmarkEnd w:id="91"/>
    <w:bookmarkStart w:id="124" w:name="X476cbaee36cf5bfa9df18883c131fe9d77ad95f"/>
    <w:p>
      <w:pPr>
        <w:pStyle w:val="2"/>
      </w:pPr>
      <w:r>
        <w:t xml:space="preserve">4. Major Dietary Patterns: Evidence and Analysis</w:t>
      </w:r>
    </w:p>
    <w:bookmarkStart w:id="100" w:name="mediterranean-diet"/>
    <w:p>
      <w:pPr>
        <w:pStyle w:val="3"/>
      </w:pPr>
      <w:r>
        <w:t xml:space="preserve">4.1 Mediterranean Diet</w:t>
      </w:r>
    </w:p>
    <w:bookmarkStart w:id="94" w:name="X4dd8cd115d6cd2b157fdf483ef3a2ec7ee04373"/>
    <w:p>
      <w:pPr>
        <w:pStyle w:val="4"/>
      </w:pPr>
      <w:r>
        <w:t xml:space="preserve">4.1.1 Core Components: Olive Oil, Vegetables, Fruits, Whole Grains, Legumes, Fish, Moderate Wine</w:t>
      </w:r>
    </w:p>
    <w:p>
      <w:pPr>
        <w:pStyle w:val="FirstParagraph"/>
      </w:pPr>
      <w:r>
        <w:t xml:space="preserve">The</w:t>
      </w:r>
      <w:r>
        <w:t xml:space="preserve"> </w:t>
      </w:r>
      <w:r>
        <w:rPr>
          <w:b/>
          <w:bCs/>
        </w:rPr>
        <w:t xml:space="preserve">Mediterranean diet represents not merely a set of food selections but an integrated dietary pattern rooted in the traditional eating habits of populations bordering the Mediterranean Sea</w:t>
      </w:r>
      <w:r>
        <w:t xml:space="preserve">, particularly Greece, southern Italy, and Spain, with documented health benefits spanning cardiovascular protection, metabolic improvement, cognitive preservation, and longevity. The foundational components include:</w:t>
      </w:r>
      <w:r>
        <w:t xml:space="preserve"> </w:t>
      </w:r>
      <w:r>
        <w:rPr>
          <w:b/>
          <w:bCs/>
        </w:rPr>
        <w:t xml:space="preserve">abundant daily consumption of vegetables, fruits, whole grains, legumes, nuts, and seeds; olive oil as the principal added fat source; moderate intake of fish and seafood (typically 2–3 servings weekly); poultry, eggs, and dairy products (principally cheese and yogurt) in moderate amounts; and limited consumption of red meat, processed meats, and sweets</w:t>
      </w:r>
      <w:r>
        <w:t xml:space="preserve"> </w:t>
      </w:r>
      <w:hyperlink r:id="rId92">
        <w:r>
          <w:rPr>
            <w:rStyle w:val="af"/>
          </w:rPr>
          <w:t xml:space="preserve">(Mayo Clinic)</w:t>
        </w:r>
      </w:hyperlink>
      <w:r>
        <w:t xml:space="preserve"> </w:t>
      </w:r>
      <w:r>
        <w:t xml:space="preserve">.</w:t>
      </w:r>
      <w:r>
        <w:t xml:space="preserve"> </w:t>
      </w:r>
      <w:r>
        <w:rPr>
          <w:b/>
          <w:bCs/>
        </w:rPr>
        <w:t xml:space="preserve">Wine, consumed in moderation and typically with meals, represents a traditional but optional component</w:t>
      </w:r>
      <w:r>
        <w:t xml:space="preserve">, with alcohol avoidance recommended for certain populations including pregnant women, individuals with alcohol use disorders, and those taking interacting medications</w:t>
      </w:r>
      <w:r>
        <w:t xml:space="preserve"> </w:t>
      </w:r>
      <w:hyperlink r:id="rId93">
        <w:r>
          <w:rPr>
            <w:rStyle w:val="af"/>
          </w:rPr>
          <w:t xml:space="preserve">(Verywell Health)</w:t>
        </w:r>
      </w:hyperlink>
      <w:r>
        <w:t xml:space="preserve"> </w:t>
      </w:r>
      <w:r>
        <w:t xml:space="preserve">. The dietary pattern emphasizes</w:t>
      </w:r>
      <w:r>
        <w:t xml:space="preserve"> </w:t>
      </w:r>
      <w:r>
        <w:rPr>
          <w:b/>
          <w:bCs/>
        </w:rPr>
        <w:t xml:space="preserve">freshness, seasonality, and minimally processed foods</w:t>
      </w:r>
      <w:r>
        <w:t xml:space="preserve">, with preparation methods featuring</w:t>
      </w:r>
      <w:r>
        <w:t xml:space="preserve"> </w:t>
      </w:r>
      <w:r>
        <w:rPr>
          <w:b/>
          <w:bCs/>
        </w:rPr>
        <w:t xml:space="preserve">herbs and spices rather than salt for flavoring</w:t>
      </w:r>
      <w:r>
        <w:t xml:space="preserve">.</w:t>
      </w:r>
    </w:p>
    <w:p>
      <w:pPr>
        <w:pStyle w:val="a0"/>
      </w:pPr>
      <w:r>
        <w:t xml:space="preserve">The quantitative specifications, while not rigidly prescribed, provide useful guidance for adherence assessment:</w:t>
      </w:r>
    </w:p>
    <w:tbl>
      <w:tblPr>
        <w:tblStyle w:val="Table"/>
        <w:tblW w:type="pct" w:w="5000"/>
        <w:jc w:val="left"/>
        <w:tblLayout w:type="fixed"/>
        <w:tblLook w:firstRow="1" w:lastRow="0" w:firstColumn="0" w:lastColumn="0" w:noHBand="0" w:noVBand="0" w:val="0020"/>
      </w:tblPr>
      <w:tblGrid>
        <w:gridCol w:w="1806"/>
        <w:gridCol w:w="1806"/>
        <w:gridCol w:w="2640"/>
        <w:gridCol w:w="1667"/>
      </w:tblGrid>
      <w:tr>
        <w:trPr>
          <w:tblHeader w:val="on"/>
        </w:trPr>
        <w:tc>
          <w:tcPr/>
          <w:p>
            <w:pPr>
              <w:pStyle w:val="Compact"/>
              <w:jc w:val="left"/>
            </w:pPr>
            <w:r>
              <w:t xml:space="preserve">Food Category</w:t>
            </w:r>
          </w:p>
        </w:tc>
        <w:tc>
          <w:tcPr/>
          <w:p>
            <w:pPr>
              <w:pStyle w:val="Compact"/>
              <w:jc w:val="left"/>
            </w:pPr>
            <w:r>
              <w:t xml:space="preserve">Target Intake</w:t>
            </w:r>
          </w:p>
        </w:tc>
        <w:tc>
          <w:tcPr/>
          <w:p>
            <w:pPr>
              <w:pStyle w:val="Compact"/>
              <w:jc w:val="left"/>
            </w:pPr>
            <w:r>
              <w:t xml:space="preserve">Serving Definitions</w:t>
            </w:r>
          </w:p>
        </w:tc>
        <w:tc>
          <w:tcPr/>
          <w:p>
            <w:pPr>
              <w:pStyle w:val="Compact"/>
              <w:jc w:val="left"/>
            </w:pPr>
            <w:r>
              <w:t xml:space="preserve">Key Examples</w:t>
            </w:r>
          </w:p>
        </w:tc>
      </w:tr>
      <w:tr>
        <w:tc>
          <w:tcPr/>
          <w:p>
            <w:pPr>
              <w:pStyle w:val="Compact"/>
              <w:jc w:val="left"/>
            </w:pPr>
            <w:r>
              <w:rPr>
                <w:b/>
                <w:bCs/>
              </w:rPr>
              <w:t xml:space="preserve">Vegetables</w:t>
            </w:r>
          </w:p>
        </w:tc>
        <w:tc>
          <w:tcPr/>
          <w:p>
            <w:pPr>
              <w:pStyle w:val="Compact"/>
              <w:jc w:val="left"/>
            </w:pPr>
            <w:r>
              <w:t xml:space="preserve">≥4 servings daily</w:t>
            </w:r>
          </w:p>
        </w:tc>
        <w:tc>
          <w:tcPr/>
          <w:p>
            <w:pPr>
              <w:pStyle w:val="Compact"/>
              <w:jc w:val="left"/>
            </w:pPr>
            <w:r>
              <w:t xml:space="preserve">2 cups leafy; 1 cup raw; ½ cup cooked</w:t>
            </w:r>
          </w:p>
        </w:tc>
        <w:tc>
          <w:tcPr/>
          <w:p>
            <w:pPr>
              <w:pStyle w:val="Compact"/>
              <w:jc w:val="left"/>
            </w:pPr>
            <w:r>
              <w:t xml:space="preserve">Tomatoes, spinach, peppers, onions, eggplant, zucchini</w:t>
            </w:r>
          </w:p>
        </w:tc>
      </w:tr>
      <w:tr>
        <w:tc>
          <w:tcPr/>
          <w:p>
            <w:pPr>
              <w:pStyle w:val="Compact"/>
              <w:jc w:val="left"/>
            </w:pPr>
            <w:r>
              <w:rPr>
                <w:b/>
                <w:bCs/>
              </w:rPr>
              <w:t xml:space="preserve">Fruits</w:t>
            </w:r>
          </w:p>
        </w:tc>
        <w:tc>
          <w:tcPr/>
          <w:p>
            <w:pPr>
              <w:pStyle w:val="Compact"/>
              <w:jc w:val="left"/>
            </w:pPr>
            <w:r>
              <w:t xml:space="preserve">2–3 servings daily</w:t>
            </w:r>
          </w:p>
        </w:tc>
        <w:tc>
          <w:tcPr/>
          <w:p>
            <w:pPr>
              <w:pStyle w:val="Compact"/>
              <w:jc w:val="left"/>
            </w:pPr>
            <w:r>
              <w:t xml:space="preserve">1 medium whole fruit; 1 cup chopped</w:t>
            </w:r>
          </w:p>
        </w:tc>
        <w:tc>
          <w:tcPr/>
          <w:p>
            <w:pPr>
              <w:pStyle w:val="Compact"/>
              <w:jc w:val="left"/>
            </w:pPr>
            <w:r>
              <w:t xml:space="preserve">Apples, oranges, grapes, figs, pomegranates, berries</w:t>
            </w:r>
          </w:p>
        </w:tc>
      </w:tr>
      <w:tr>
        <w:tc>
          <w:tcPr/>
          <w:p>
            <w:pPr>
              <w:pStyle w:val="Compact"/>
              <w:jc w:val="left"/>
            </w:pPr>
            <w:r>
              <w:rPr>
                <w:b/>
                <w:bCs/>
              </w:rPr>
              <w:t xml:space="preserve">Whole grains</w:t>
            </w:r>
          </w:p>
        </w:tc>
        <w:tc>
          <w:tcPr/>
          <w:p>
            <w:pPr>
              <w:pStyle w:val="Compact"/>
              <w:jc w:val="left"/>
            </w:pPr>
            <w:r>
              <w:t xml:space="preserve">≥3 ounces daily (for 2000 kcal)</w:t>
            </w:r>
          </w:p>
        </w:tc>
        <w:tc>
          <w:tcPr/>
          <w:p>
            <w:pPr>
              <w:pStyle w:val="Compact"/>
              <w:jc w:val="left"/>
            </w:pPr>
            <w:r>
              <w:t xml:space="preserve">1 slice bread; ½ cup cooked grains; 1 oz dry pasta</w:t>
            </w:r>
          </w:p>
        </w:tc>
        <w:tc>
          <w:tcPr/>
          <w:p>
            <w:pPr>
              <w:pStyle w:val="Compact"/>
              <w:jc w:val="left"/>
            </w:pPr>
            <w:r>
              <w:t xml:space="preserve">Whole wheat bread, bulgur, barley, farro, brown rice, oats</w:t>
            </w:r>
          </w:p>
        </w:tc>
      </w:tr>
      <w:tr>
        <w:tc>
          <w:tcPr/>
          <w:p>
            <w:pPr>
              <w:pStyle w:val="Compact"/>
              <w:jc w:val="left"/>
            </w:pPr>
            <w:r>
              <w:rPr>
                <w:b/>
                <w:bCs/>
              </w:rPr>
              <w:t xml:space="preserve">Olive oil</w:t>
            </w:r>
          </w:p>
        </w:tc>
        <w:tc>
          <w:tcPr/>
          <w:p>
            <w:pPr>
              <w:pStyle w:val="Compact"/>
              <w:jc w:val="left"/>
            </w:pPr>
            <w:r>
              <w:t xml:space="preserve">Primary added fat</w:t>
            </w:r>
          </w:p>
        </w:tc>
        <w:tc>
          <w:tcPr/>
          <w:p>
            <w:pPr>
              <w:pStyle w:val="Compact"/>
              <w:jc w:val="left"/>
            </w:pPr>
            <w:r>
              <w:t xml:space="preserve">1 tablespoon</w:t>
            </w:r>
          </w:p>
        </w:tc>
        <w:tc>
          <w:tcPr/>
          <w:p>
            <w:pPr>
              <w:pStyle w:val="Compact"/>
              <w:jc w:val="left"/>
            </w:pPr>
            <w:r>
              <w:t xml:space="preserve">Extra-virgin olive oil for cooking and dressing</w:t>
            </w:r>
          </w:p>
        </w:tc>
      </w:tr>
      <w:tr>
        <w:tc>
          <w:tcPr/>
          <w:p>
            <w:pPr>
              <w:pStyle w:val="Compact"/>
              <w:jc w:val="left"/>
            </w:pPr>
            <w:r>
              <w:rPr>
                <w:b/>
                <w:bCs/>
              </w:rPr>
              <w:t xml:space="preserve">Nuts</w:t>
            </w:r>
          </w:p>
        </w:tc>
        <w:tc>
          <w:tcPr/>
          <w:p>
            <w:pPr>
              <w:pStyle w:val="Compact"/>
              <w:jc w:val="left"/>
            </w:pPr>
            <w:r>
              <w:t xml:space="preserve">4 servings weekly</w:t>
            </w:r>
          </w:p>
        </w:tc>
        <w:tc>
          <w:tcPr/>
          <w:p>
            <w:pPr>
              <w:pStyle w:val="Compact"/>
              <w:jc w:val="left"/>
            </w:pPr>
            <w:r>
              <w:t xml:space="preserve">¼ cup raw, unsalted</w:t>
            </w:r>
          </w:p>
        </w:tc>
        <w:tc>
          <w:tcPr/>
          <w:p>
            <w:pPr>
              <w:pStyle w:val="Compact"/>
              <w:jc w:val="left"/>
            </w:pPr>
            <w:r>
              <w:t xml:space="preserve">Almonds, walnuts, hazelnuts, pistachios</w:t>
            </w:r>
          </w:p>
        </w:tc>
      </w:tr>
      <w:tr>
        <w:tc>
          <w:tcPr/>
          <w:p>
            <w:pPr>
              <w:pStyle w:val="Compact"/>
              <w:jc w:val="left"/>
            </w:pPr>
            <w:r>
              <w:rPr>
                <w:b/>
                <w:bCs/>
              </w:rPr>
              <w:t xml:space="preserve">Fish/seafood</w:t>
            </w:r>
          </w:p>
        </w:tc>
        <w:tc>
          <w:tcPr/>
          <w:p>
            <w:pPr>
              <w:pStyle w:val="Compact"/>
              <w:jc w:val="left"/>
            </w:pPr>
            <w:r>
              <w:t xml:space="preserve">2–3 times weekly</w:t>
            </w:r>
          </w:p>
        </w:tc>
        <w:tc>
          <w:tcPr/>
          <w:p>
            <w:pPr>
              <w:pStyle w:val="Compact"/>
              <w:jc w:val="left"/>
            </w:pPr>
            <w:r>
              <w:t xml:space="preserve">3–4 ounces cooked</w:t>
            </w:r>
          </w:p>
        </w:tc>
        <w:tc>
          <w:tcPr/>
          <w:p>
            <w:pPr>
              <w:pStyle w:val="Compact"/>
              <w:jc w:val="left"/>
            </w:pPr>
            <w:r>
              <w:t xml:space="preserve">Mackerel, herring, sardines, albacore tuna, salmon, anchovies</w:t>
            </w:r>
          </w:p>
        </w:tc>
      </w:tr>
      <w:tr>
        <w:tc>
          <w:tcPr/>
          <w:p>
            <w:pPr>
              <w:pStyle w:val="Compact"/>
              <w:jc w:val="left"/>
            </w:pPr>
            <w:r>
              <w:rPr>
                <w:b/>
                <w:bCs/>
              </w:rPr>
              <w:t xml:space="preserve">Dairy</w:t>
            </w:r>
          </w:p>
        </w:tc>
        <w:tc>
          <w:tcPr/>
          <w:p>
            <w:pPr>
              <w:pStyle w:val="Compact"/>
              <w:jc w:val="left"/>
            </w:pPr>
            <w:r>
              <w:t xml:space="preserve">Moderate, favoring low-fat</w:t>
            </w:r>
          </w:p>
        </w:tc>
        <w:tc>
          <w:tcPr/>
          <w:p>
            <w:pPr>
              <w:pStyle w:val="Compact"/>
              <w:jc w:val="left"/>
            </w:pPr>
            <w:r>
              <w:t xml:space="preserve">1 cup milk; 1 cup yogurt; ~1 oz cheese</w:t>
            </w:r>
          </w:p>
        </w:tc>
        <w:tc>
          <w:tcPr/>
          <w:p>
            <w:pPr>
              <w:pStyle w:val="Compact"/>
              <w:jc w:val="left"/>
            </w:pPr>
            <w:r>
              <w:t xml:space="preserve">Low-fat Greek yogurt, feta, parmesan, skim milk</w:t>
            </w:r>
          </w:p>
        </w:tc>
      </w:tr>
      <w:tr>
        <w:tc>
          <w:tcPr/>
          <w:p>
            <w:pPr>
              <w:pStyle w:val="Compact"/>
              <w:jc w:val="left"/>
            </w:pPr>
            <w:r>
              <w:rPr>
                <w:b/>
                <w:bCs/>
              </w:rPr>
              <w:t xml:space="preserve">Wine (optional)</w:t>
            </w:r>
          </w:p>
        </w:tc>
        <w:tc>
          <w:tcPr/>
          <w:p>
            <w:pPr>
              <w:pStyle w:val="Compact"/>
              <w:jc w:val="left"/>
            </w:pPr>
            <w:r>
              <w:t xml:space="preserve">Moderate, with meals</w:t>
            </w:r>
          </w:p>
        </w:tc>
        <w:tc>
          <w:tcPr/>
          <w:p>
            <w:pPr>
              <w:pStyle w:val="Compact"/>
              <w:jc w:val="left"/>
            </w:pPr>
            <w:r>
              <w:t xml:space="preserve">1 glass women; 2 glasses men</w:t>
            </w:r>
          </w:p>
        </w:tc>
        <w:tc>
          <w:tcPr/>
          <w:p>
            <w:pPr>
              <w:pStyle w:val="Compact"/>
              <w:jc w:val="left"/>
            </w:pPr>
            <w:r>
              <w:t xml:space="preserve">Red wine traditionally preferred</w:t>
            </w:r>
          </w:p>
        </w:tc>
      </w:tr>
    </w:tbl>
    <w:bookmarkEnd w:id="94"/>
    <w:bookmarkStart w:id="95" w:name="Xd6edf8ad836d32059481f92f17a4c512eff344b"/>
    <w:p>
      <w:pPr>
        <w:pStyle w:val="4"/>
      </w:pPr>
      <w:r>
        <w:t xml:space="preserve">4.1.2 UNESCO Intangible Cultural Heritage Designation (2013)</w:t>
      </w:r>
    </w:p>
    <w:p>
      <w:pPr>
        <w:pStyle w:val="FirstParagraph"/>
      </w:pPr>
      <w:r>
        <w:t xml:space="preserve">The Mediterranean diet received recognition from</w:t>
      </w:r>
      <w:r>
        <w:t xml:space="preserve"> </w:t>
      </w:r>
      <w:r>
        <w:rPr>
          <w:b/>
          <w:bCs/>
        </w:rPr>
        <w:t xml:space="preserve">UNESCO as an Intangible Cultural Heritage of Humanity in 2013</w:t>
      </w:r>
      <w:r>
        <w:t xml:space="preserve">, acknowledging its significance beyond nutrition to encompass</w:t>
      </w:r>
      <w:r>
        <w:t xml:space="preserve"> </w:t>
      </w:r>
      <w:r>
        <w:rPr>
          <w:b/>
          <w:bCs/>
        </w:rPr>
        <w:t xml:space="preserve">cultural identity, social interaction, traditional knowledge, and sustainable food production</w:t>
      </w:r>
      <w:r>
        <w:t xml:space="preserve">. This designation specifically highlighted the Mediterranean diet as</w:t>
      </w:r>
      <w:r>
        <w:t xml:space="preserve"> </w:t>
      </w:r>
      <w:r>
        <w:rPr>
          <w:b/>
          <w:bCs/>
        </w:rPr>
        <w:t xml:space="preserve">“</w:t>
      </w:r>
      <w:r>
        <w:rPr>
          <w:b/>
          <w:bCs/>
        </w:rPr>
        <w:t xml:space="preserve">a set of skills, knowledge, rituals, symbols and traditions concerning crops, harvesting, fishing, animal husbandry, conservation, processing, cooking, and particularly the sharing and consumption of food.</w:t>
      </w:r>
      <w:r>
        <w:rPr>
          <w:b/>
          <w:bCs/>
        </w:rPr>
        <w:t xml:space="preserve">”</w:t>
      </w:r>
      <w:r>
        <w:t xml:space="preserve"> </w:t>
      </w:r>
      <w:r>
        <w:t xml:space="preserve">The inscription emphasized the</w:t>
      </w:r>
      <w:r>
        <w:t xml:space="preserve"> </w:t>
      </w:r>
      <w:r>
        <w:rPr>
          <w:b/>
          <w:bCs/>
        </w:rPr>
        <w:t xml:space="preserve">communal and social dimensions of eating</w:t>
      </w:r>
      <w:r>
        <w:t xml:space="preserve">, with meals traditionally serving as occasions for family and community gathering, strengthening social bonds and transmitting cultural practices across generations. This recognition distinguishes the Mediterranean diet from commercialized</w:t>
      </w:r>
      <w:r>
        <w:t xml:space="preserve"> </w:t>
      </w:r>
      <w:r>
        <w:t xml:space="preserve">“</w:t>
      </w:r>
      <w:r>
        <w:t xml:space="preserve">diet plans</w:t>
      </w:r>
      <w:r>
        <w:t xml:space="preserve">”</w:t>
      </w:r>
      <w:r>
        <w:t xml:space="preserve"> </w:t>
      </w:r>
      <w:r>
        <w:t xml:space="preserve">by framing it as a</w:t>
      </w:r>
      <w:r>
        <w:t xml:space="preserve"> </w:t>
      </w:r>
      <w:r>
        <w:rPr>
          <w:b/>
          <w:bCs/>
        </w:rPr>
        <w:t xml:space="preserve">holistic lifestyle embedded in specific geographical and cultural contexts</w:t>
      </w:r>
      <w:r>
        <w:t xml:space="preserve">, with implications for efforts to transplant its benefits to disparate cultural settings where food practices carry different social meanings.</w:t>
      </w:r>
    </w:p>
    <w:bookmarkEnd w:id="95"/>
    <w:bookmarkStart w:id="96" w:name="X0810903cbdc17fa1db350ad878a73916593250c"/>
    <w:p>
      <w:pPr>
        <w:pStyle w:val="4"/>
      </w:pPr>
      <w:r>
        <w:t xml:space="preserve">4.1.3 Health Outcomes: Cardiovascular Protection, Metabolic Improvement, Cognitive Preservation</w:t>
      </w:r>
    </w:p>
    <w:p>
      <w:pPr>
        <w:pStyle w:val="FirstParagraph"/>
      </w:pPr>
      <w:r>
        <w:t xml:space="preserve">The</w:t>
      </w:r>
      <w:r>
        <w:t xml:space="preserve"> </w:t>
      </w:r>
      <w:r>
        <w:rPr>
          <w:b/>
          <w:bCs/>
        </w:rPr>
        <w:t xml:space="preserve">evidence base supporting Mediterranean diet benefits is among the most robust of any dietary pattern</w:t>
      </w:r>
      <w:r>
        <w:t xml:space="preserve">, with particular strength in cardiovascular disease prevention and management. Observational studies dating to the</w:t>
      </w:r>
      <w:r>
        <w:t xml:space="preserve"> </w:t>
      </w:r>
      <w:r>
        <w:rPr>
          <w:b/>
          <w:bCs/>
        </w:rPr>
        <w:t xml:space="preserve">1960s Seven Countries Study first noted lower cardiovascular mortality in Mediterranean populations</w:t>
      </w:r>
      <w:r>
        <w:t xml:space="preserve"> </w:t>
      </w:r>
      <w:r>
        <w:t xml:space="preserve">compared to Northern Europe and the United States, sparking decades of subsequent investigation</w:t>
      </w:r>
      <w:r>
        <w:t xml:space="preserve"> </w:t>
      </w:r>
      <w:hyperlink r:id="rId92">
        <w:r>
          <w:rPr>
            <w:rStyle w:val="af"/>
          </w:rPr>
          <w:t xml:space="preserve">(Mayo Clinic)</w:t>
        </w:r>
      </w:hyperlink>
      <w:r>
        <w:t xml:space="preserve"> </w:t>
      </w:r>
      <w:r>
        <w:t xml:space="preserve">. Contemporary research has linked Mediterranean diet adherence to</w:t>
      </w:r>
      <w:r>
        <w:t xml:space="preserve"> </w:t>
      </w:r>
      <w:r>
        <w:rPr>
          <w:b/>
          <w:bCs/>
        </w:rPr>
        <w:t xml:space="preserve">favorable modification of multiple cardiovascular risk factors</w:t>
      </w:r>
      <w:r>
        <w:t xml:space="preserve">: reduced low-density lipoprotein (LDL) cholesterol, improved high-density lipoprotein (HDL) cholesterol, lowered blood pressure, improved endothelial function, and reduced systemic inflammation</w:t>
      </w:r>
      <w:r>
        <w:t xml:space="preserve"> </w:t>
      </w:r>
      <w:hyperlink r:id="rId92">
        <w:r>
          <w:rPr>
            <w:rStyle w:val="af"/>
          </w:rPr>
          <w:t xml:space="preserve">(Mayo Clinic)</w:t>
        </w:r>
      </w:hyperlink>
      <w:r>
        <w:t xml:space="preserve"> </w:t>
      </w:r>
      <w:r>
        <w:t xml:space="preserve">. The</w:t>
      </w:r>
      <w:r>
        <w:t xml:space="preserve"> </w:t>
      </w:r>
      <w:r>
        <w:rPr>
          <w:b/>
          <w:bCs/>
        </w:rPr>
        <w:t xml:space="preserve">landmark PREDIMED (Prevención con Dieta Mediterránea) randomized controlled trial demonstrated 30% reduction in major cardiovascular events</w:t>
      </w:r>
      <w:r>
        <w:t xml:space="preserve"> </w:t>
      </w:r>
      <w:r>
        <w:t xml:space="preserve">(myocardial infarction, stroke, cardiovascular death) among high-risk individuals assigned to Mediterranean diet supplemented with extra-virgin olive oil or nuts compared to low-fat control diet.</w:t>
      </w:r>
    </w:p>
    <w:p>
      <w:pPr>
        <w:pStyle w:val="a0"/>
      </w:pPr>
      <w:r>
        <w:t xml:space="preserve">Beyond cardiovascular disease,</w:t>
      </w:r>
      <w:r>
        <w:t xml:space="preserve"> </w:t>
      </w:r>
      <w:r>
        <w:rPr>
          <w:b/>
          <w:bCs/>
        </w:rPr>
        <w:t xml:space="preserve">Mediterranean diet adherence associates with reduced incidence of type 2 diabetes, metabolic syndrome, and certain cancers</w:t>
      </w:r>
      <w:r>
        <w:t xml:space="preserve"> </w:t>
      </w:r>
      <w:r>
        <w:t xml:space="preserve">(colorectal, head and neck, respiratory, gastric, liver, and bladder)</w:t>
      </w:r>
      <w:r>
        <w:t xml:space="preserve"> </w:t>
      </w:r>
      <w:hyperlink r:id="rId93">
        <w:r>
          <w:rPr>
            <w:rStyle w:val="af"/>
          </w:rPr>
          <w:t xml:space="preserve">(Verywell Health)</w:t>
        </w:r>
      </w:hyperlink>
      <w:r>
        <w:t xml:space="preserve"> </w:t>
      </w:r>
      <w:r>
        <w:t xml:space="preserve">. The antioxidant-rich and anti-inflammatory properties of the dietary pattern may protect against cancer development and improve outcomes among cancer survivors</w:t>
      </w:r>
      <w:r>
        <w:t xml:space="preserve"> </w:t>
      </w:r>
      <w:hyperlink r:id="rId93">
        <w:r>
          <w:rPr>
            <w:rStyle w:val="af"/>
          </w:rPr>
          <w:t xml:space="preserve">(Verywell Health)</w:t>
        </w:r>
      </w:hyperlink>
      <w:r>
        <w:t xml:space="preserve"> </w:t>
      </w:r>
      <w:r>
        <w:t xml:space="preserve">.</w:t>
      </w:r>
      <w:r>
        <w:t xml:space="preserve"> </w:t>
      </w:r>
      <w:r>
        <w:rPr>
          <w:b/>
          <w:bCs/>
        </w:rPr>
        <w:t xml:space="preserve">Cognitive benefits include reduced risk of cognitive decline and Alzheimer’s disease</w:t>
      </w:r>
      <w:r>
        <w:t xml:space="preserve">, with the</w:t>
      </w:r>
      <w:r>
        <w:t xml:space="preserve"> </w:t>
      </w:r>
      <w:r>
        <w:rPr>
          <w:b/>
          <w:bCs/>
        </w:rPr>
        <w:t xml:space="preserve">Mediterranean-DASH Intervention for Neurodegenerative Delay (MIND) diet</w:t>
      </w:r>
      <w:r>
        <w:t xml:space="preserve"> </w:t>
      </w:r>
      <w:r>
        <w:t xml:space="preserve">specifically developed to capture neuroprotective elements of both patterns.</w:t>
      </w:r>
      <w:r>
        <w:t xml:space="preserve"> </w:t>
      </w:r>
      <w:r>
        <w:rPr>
          <w:b/>
          <w:bCs/>
        </w:rPr>
        <w:t xml:space="preserve">Weight management benefits are supported by evidence that Mediterranean diet adherence associates with reduced weight gain over time</w:t>
      </w:r>
      <w:r>
        <w:t xml:space="preserve">, though it is not primarily a weight-loss diet</w:t>
      </w:r>
      <w:r>
        <w:t xml:space="preserve"> </w:t>
      </w:r>
      <w:hyperlink r:id="rId93">
        <w:r>
          <w:rPr>
            <w:rStyle w:val="af"/>
          </w:rPr>
          <w:t xml:space="preserve">(Verywell Health)</w:t>
        </w:r>
      </w:hyperlink>
      <w:r>
        <w:t xml:space="preserve"> </w:t>
      </w:r>
      <w:r>
        <w:t xml:space="preserve">. Additional benefits include</w:t>
      </w:r>
      <w:r>
        <w:t xml:space="preserve"> </w:t>
      </w:r>
      <w:r>
        <w:rPr>
          <w:b/>
          <w:bCs/>
        </w:rPr>
        <w:t xml:space="preserve">improvement in arthritis symptoms</w:t>
      </w:r>
      <w:r>
        <w:t xml:space="preserve">, with systematic reviews finding significant decreases in subjective pain compared to ordinary diets, attributed to high anti-inflammatory properties of characteristic foods</w:t>
      </w:r>
      <w:r>
        <w:t xml:space="preserve"> </w:t>
      </w:r>
      <w:hyperlink r:id="rId93">
        <w:r>
          <w:rPr>
            <w:rStyle w:val="af"/>
          </w:rPr>
          <w:t xml:space="preserve">(Verywell Health)</w:t>
        </w:r>
      </w:hyperlink>
      <w:r>
        <w:t xml:space="preserve"> </w:t>
      </w:r>
      <w:r>
        <w:t xml:space="preserve">.</w:t>
      </w:r>
    </w:p>
    <w:bookmarkEnd w:id="96"/>
    <w:bookmarkStart w:id="97" w:name="X477142bb6a94724d20cf9a71cd06c4ce3dba712"/>
    <w:p>
      <w:pPr>
        <w:pStyle w:val="4"/>
      </w:pPr>
      <w:r>
        <w:t xml:space="preserve">4.1.4 Mechanisms: Anti-Inflammatory Polyphenols, Omega-3s, Dietary Fiber, Antioxidants</w:t>
      </w:r>
    </w:p>
    <w:p>
      <w:pPr>
        <w:pStyle w:val="FirstParagraph"/>
      </w:pPr>
      <w:r>
        <w:t xml:space="preserve">The health benefits of the Mediterranean diet operate through</w:t>
      </w:r>
      <w:r>
        <w:t xml:space="preserve"> </w:t>
      </w:r>
      <w:r>
        <w:rPr>
          <w:b/>
          <w:bCs/>
        </w:rPr>
        <w:t xml:space="preserve">multiple complementary mechanisms</w:t>
      </w:r>
      <w:r>
        <w:t xml:space="preserve">:</w:t>
      </w:r>
    </w:p>
    <w:tbl>
      <w:tblPr>
        <w:tblStyle w:val="Table"/>
        <w:tblW w:type="pct" w:w="5000"/>
        <w:jc w:val="left"/>
        <w:tblLayout w:type="fixed"/>
        <w:tblLook w:firstRow="1" w:lastRow="0" w:firstColumn="0" w:lastColumn="0" w:noHBand="0" w:noVBand="0" w:val="0020"/>
      </w:tblPr>
      <w:tblGrid>
        <w:gridCol w:w="2140"/>
        <w:gridCol w:w="1605"/>
        <w:gridCol w:w="2568"/>
        <w:gridCol w:w="1605"/>
      </w:tblGrid>
      <w:tr>
        <w:trPr>
          <w:tblHeader w:val="on"/>
        </w:trPr>
        <w:tc>
          <w:tcPr/>
          <w:p>
            <w:pPr>
              <w:pStyle w:val="Compact"/>
              <w:jc w:val="left"/>
            </w:pPr>
            <w:r>
              <w:t xml:space="preserve">Bioactive Component</w:t>
            </w:r>
          </w:p>
        </w:tc>
        <w:tc>
          <w:tcPr/>
          <w:p>
            <w:pPr>
              <w:pStyle w:val="Compact"/>
              <w:jc w:val="left"/>
            </w:pPr>
            <w:r>
              <w:t xml:space="preserve">Primary Sources</w:t>
            </w:r>
          </w:p>
        </w:tc>
        <w:tc>
          <w:tcPr/>
          <w:p>
            <w:pPr>
              <w:pStyle w:val="Compact"/>
              <w:jc w:val="left"/>
            </w:pPr>
            <w:r>
              <w:t xml:space="preserve">Physiological Mechanisms</w:t>
            </w:r>
          </w:p>
        </w:tc>
        <w:tc>
          <w:tcPr/>
          <w:p>
            <w:pPr>
              <w:pStyle w:val="Compact"/>
              <w:jc w:val="left"/>
            </w:pPr>
            <w:r>
              <w:t xml:space="preserve">Health Outcomes</w:t>
            </w:r>
          </w:p>
        </w:tc>
      </w:tr>
      <w:tr>
        <w:tc>
          <w:tcPr/>
          <w:p>
            <w:pPr>
              <w:pStyle w:val="Compact"/>
              <w:jc w:val="left"/>
            </w:pPr>
            <w:r>
              <w:rPr>
                <w:b/>
                <w:bCs/>
              </w:rPr>
              <w:t xml:space="preserve">Polyphenols</w:t>
            </w:r>
            <w:r>
              <w:t xml:space="preserve"> </w:t>
            </w:r>
            <w:r>
              <w:t xml:space="preserve">(oleuropein, hydroxytyrosol, resveratrol)</w:t>
            </w:r>
          </w:p>
        </w:tc>
        <w:tc>
          <w:tcPr/>
          <w:p>
            <w:pPr>
              <w:pStyle w:val="Compact"/>
              <w:jc w:val="left"/>
            </w:pPr>
            <w:r>
              <w:t xml:space="preserve">Extra-virgin olive oil, red wine, grapes, berries</w:t>
            </w:r>
          </w:p>
        </w:tc>
        <w:tc>
          <w:tcPr/>
          <w:p>
            <w:pPr>
              <w:pStyle w:val="Compact"/>
              <w:jc w:val="left"/>
            </w:pPr>
            <w:r>
              <w:t xml:space="preserve">Antioxidant activity; NF-κB pathway inhibition; improved endothelial function; gut microbiota modulation</w:t>
            </w:r>
          </w:p>
        </w:tc>
        <w:tc>
          <w:tcPr/>
          <w:p>
            <w:pPr>
              <w:pStyle w:val="Compact"/>
              <w:jc w:val="left"/>
            </w:pPr>
            <w:r>
              <w:t xml:space="preserve">Reduced inflammation, cardiovascular protection, neuroprotection</w:t>
            </w:r>
          </w:p>
        </w:tc>
      </w:tr>
      <w:tr>
        <w:tc>
          <w:tcPr/>
          <w:p>
            <w:pPr>
              <w:pStyle w:val="Compact"/>
              <w:jc w:val="left"/>
            </w:pPr>
            <w:r>
              <w:rPr>
                <w:b/>
                <w:bCs/>
              </w:rPr>
              <w:t xml:space="preserve">Omega-3 fatty acids</w:t>
            </w:r>
            <w:r>
              <w:t xml:space="preserve"> </w:t>
            </w:r>
            <w:r>
              <w:t xml:space="preserve">(EPA, DHA)</w:t>
            </w:r>
          </w:p>
        </w:tc>
        <w:tc>
          <w:tcPr/>
          <w:p>
            <w:pPr>
              <w:pStyle w:val="Compact"/>
              <w:jc w:val="left"/>
            </w:pPr>
            <w:r>
              <w:t xml:space="preserve">Fatty fish, seafood</w:t>
            </w:r>
          </w:p>
        </w:tc>
        <w:tc>
          <w:tcPr/>
          <w:p>
            <w:pPr>
              <w:pStyle w:val="Compact"/>
              <w:jc w:val="left"/>
            </w:pPr>
            <w:r>
              <w:t xml:space="preserve">Reduced triglycerides; anti-arrhythmic effects; resolution of inflammation via specialized pro-resolving mediators</w:t>
            </w:r>
          </w:p>
        </w:tc>
        <w:tc>
          <w:tcPr/>
          <w:p>
            <w:pPr>
              <w:pStyle w:val="Compact"/>
              <w:jc w:val="left"/>
            </w:pPr>
            <w:r>
              <w:t xml:space="preserve">Cardiovascular event reduction, cognitive preservation</w:t>
            </w:r>
          </w:p>
        </w:tc>
      </w:tr>
      <w:tr>
        <w:tc>
          <w:tcPr/>
          <w:p>
            <w:pPr>
              <w:pStyle w:val="Compact"/>
              <w:jc w:val="left"/>
            </w:pPr>
            <w:r>
              <w:rPr>
                <w:b/>
                <w:bCs/>
              </w:rPr>
              <w:t xml:space="preserve">Dietary fiber</w:t>
            </w:r>
          </w:p>
        </w:tc>
        <w:tc>
          <w:tcPr/>
          <w:p>
            <w:pPr>
              <w:pStyle w:val="Compact"/>
              <w:jc w:val="left"/>
            </w:pPr>
            <w:r>
              <w:t xml:space="preserve">Whole grains, legumes, vegetables, fruits</w:t>
            </w:r>
          </w:p>
        </w:tc>
        <w:tc>
          <w:tcPr/>
          <w:p>
            <w:pPr>
              <w:pStyle w:val="Compact"/>
              <w:jc w:val="left"/>
            </w:pPr>
            <w:r>
              <w:t xml:space="preserve">Prebiotic effects; short-chain fatty acid production; improved glycemic control; cholesterol reduction</w:t>
            </w:r>
          </w:p>
        </w:tc>
        <w:tc>
          <w:tcPr/>
          <w:p>
            <w:pPr>
              <w:pStyle w:val="Compact"/>
              <w:jc w:val="left"/>
            </w:pPr>
            <w:r>
              <w:t xml:space="preserve">Improved metabolic health, reduced colorectal cancer risk, weight management</w:t>
            </w:r>
          </w:p>
        </w:tc>
      </w:tr>
      <w:tr>
        <w:tc>
          <w:tcPr/>
          <w:p>
            <w:pPr>
              <w:pStyle w:val="Compact"/>
              <w:jc w:val="left"/>
            </w:pPr>
            <w:r>
              <w:rPr>
                <w:b/>
                <w:bCs/>
              </w:rPr>
              <w:t xml:space="preserve">Antioxidants</w:t>
            </w:r>
            <w:r>
              <w:t xml:space="preserve"> </w:t>
            </w:r>
            <w:r>
              <w:t xml:space="preserve">(vitamin E, vitamin C, carotenoids, selenium)</w:t>
            </w:r>
          </w:p>
        </w:tc>
        <w:tc>
          <w:tcPr/>
          <w:p>
            <w:pPr>
              <w:pStyle w:val="Compact"/>
              <w:jc w:val="left"/>
            </w:pPr>
            <w:r>
              <w:t xml:space="preserve">Nuts, vegetables, fruits, whole grains</w:t>
            </w:r>
          </w:p>
        </w:tc>
        <w:tc>
          <w:tcPr/>
          <w:p>
            <w:pPr>
              <w:pStyle w:val="Compact"/>
              <w:jc w:val="left"/>
            </w:pPr>
            <w:r>
              <w:t xml:space="preserve">Scavenging of reactive oxygen species; protection of LDL from oxidation; DNA damage prevention</w:t>
            </w:r>
          </w:p>
        </w:tc>
        <w:tc>
          <w:tcPr/>
          <w:p>
            <w:pPr>
              <w:pStyle w:val="Compact"/>
              <w:jc w:val="left"/>
            </w:pPr>
            <w:r>
              <w:t xml:space="preserve">Reduced oxidative stress, cancer prevention, cellular protection</w:t>
            </w:r>
          </w:p>
        </w:tc>
      </w:tr>
      <w:tr>
        <w:tc>
          <w:tcPr/>
          <w:p>
            <w:pPr>
              <w:pStyle w:val="Compact"/>
              <w:jc w:val="left"/>
            </w:pPr>
            <w:r>
              <w:rPr>
                <w:b/>
                <w:bCs/>
              </w:rPr>
              <w:t xml:space="preserve">Monounsaturated fats</w:t>
            </w:r>
          </w:p>
        </w:tc>
        <w:tc>
          <w:tcPr/>
          <w:p>
            <w:pPr>
              <w:pStyle w:val="Compact"/>
              <w:jc w:val="left"/>
            </w:pPr>
            <w:r>
              <w:t xml:space="preserve">Olive oil, avocados, nuts</w:t>
            </w:r>
          </w:p>
        </w:tc>
        <w:tc>
          <w:tcPr/>
          <w:p>
            <w:pPr>
              <w:pStyle w:val="Compact"/>
              <w:jc w:val="left"/>
            </w:pPr>
            <w:r>
              <w:t xml:space="preserve">Improved lipid profile; reduced LDL oxidation; enhanced insulin sensitivity</w:t>
            </w:r>
          </w:p>
        </w:tc>
        <w:tc>
          <w:tcPr/>
          <w:p>
            <w:pPr>
              <w:pStyle w:val="Compact"/>
              <w:jc w:val="left"/>
            </w:pPr>
            <w:r>
              <w:t xml:space="preserve">Cardiovascular risk reduction, metabolic improvement</w:t>
            </w:r>
          </w:p>
        </w:tc>
      </w:tr>
    </w:tbl>
    <w:p>
      <w:pPr>
        <w:pStyle w:val="a0"/>
      </w:pPr>
      <w:r>
        <w:t xml:space="preserve">The</w:t>
      </w:r>
      <w:r>
        <w:t xml:space="preserve"> </w:t>
      </w:r>
      <w:r>
        <w:rPr>
          <w:b/>
          <w:bCs/>
        </w:rPr>
        <w:t xml:space="preserve">synergy among these components likely exceeds the sum of individual effects</w:t>
      </w:r>
      <w:r>
        <w:t xml:space="preserve">, explaining why whole dietary pattern approaches consistently outperform single-nutrient interventions in clinical trials. The</w:t>
      </w:r>
      <w:r>
        <w:t xml:space="preserve"> </w:t>
      </w:r>
      <w:r>
        <w:rPr>
          <w:b/>
          <w:bCs/>
        </w:rPr>
        <w:t xml:space="preserve">high polyphenol content of extra-virgin olive oil</w:t>
      </w:r>
      <w:r>
        <w:t xml:space="preserve">—particularly oleocanthal with its ibuprofen-like anti-inflammatory properties—distinguishes this fat source from refined oils and may contribute substantially to observed benefits.</w:t>
      </w:r>
    </w:p>
    <w:bookmarkEnd w:id="97"/>
    <w:bookmarkStart w:id="98" w:name="X4b7a21238b457e86b03c3483cdb5f82d3fc1203"/>
    <w:p>
      <w:pPr>
        <w:pStyle w:val="4"/>
      </w:pPr>
      <w:r>
        <w:t xml:space="preserve">4.1.5 Adherence Measurement Tools: Mediterranean Diet Score (MDS), Italian Mediterranean Index (IMI)</w:t>
      </w:r>
    </w:p>
    <w:p>
      <w:pPr>
        <w:pStyle w:val="FirstParagraph"/>
      </w:pPr>
      <w:r>
        <w:t xml:space="preserve">Standardized tools for assessing Mediterranean diet adherence enable research comparability and clinical application. The</w:t>
      </w:r>
      <w:r>
        <w:t xml:space="preserve"> </w:t>
      </w:r>
      <w:r>
        <w:rPr>
          <w:b/>
          <w:bCs/>
        </w:rPr>
        <w:t xml:space="preserve">original Mediterranean Diet Score (MDS)</w:t>
      </w:r>
      <w:r>
        <w:t xml:space="preserve"> </w:t>
      </w:r>
      <w:r>
        <w:t xml:space="preserve">developed by Trichopoulou assigns one point for intake at or above the median for beneficial components (vegetables, fruits, legumes, cereals, fish, ratio of monounsaturated to saturated fat) and at or below the median for detrimental components (meat, dairy). Modified versions include the</w:t>
      </w:r>
      <w:r>
        <w:t xml:space="preserve"> </w:t>
      </w:r>
      <w:r>
        <w:rPr>
          <w:b/>
          <w:bCs/>
        </w:rPr>
        <w:t xml:space="preserve">Mediterranean Diet Adherence Screener (MEDAS)</w:t>
      </w:r>
      <w:r>
        <w:t xml:space="preserve">, a 14-item questionnaire suitable for rapid clinical assessment, and the</w:t>
      </w:r>
      <w:r>
        <w:t xml:space="preserve"> </w:t>
      </w:r>
      <w:r>
        <w:rPr>
          <w:b/>
          <w:bCs/>
        </w:rPr>
        <w:t xml:space="preserve">Italian Mediterranean Index (IMI)</w:t>
      </w:r>
      <w:r>
        <w:t xml:space="preserve">, which incorporates typical Italian food patterns including pasta consumption. These tools demonstrate</w:t>
      </w:r>
      <w:r>
        <w:t xml:space="preserve"> </w:t>
      </w:r>
      <w:r>
        <w:rPr>
          <w:b/>
          <w:bCs/>
        </w:rPr>
        <w:t xml:space="preserve">dose-response relationships between adherence score and health outcomes</w:t>
      </w:r>
      <w:r>
        <w:t xml:space="preserve">, with each 2-point increment in MDS associated with approximately 10% reduction in cardiovascular event risk in meta-analyses.</w:t>
      </w:r>
    </w:p>
    <w:bookmarkEnd w:id="98"/>
    <w:bookmarkStart w:id="99" w:name="X17c943589823ecad6e9b014d13adfabb5540a0d"/>
    <w:p>
      <w:pPr>
        <w:pStyle w:val="4"/>
      </w:pPr>
      <w:r>
        <w:t xml:space="preserve">4.1.6 Association with Health-Related Quality of Life and Mental Health</w:t>
      </w:r>
    </w:p>
    <w:p>
      <w:pPr>
        <w:pStyle w:val="FirstParagraph"/>
      </w:pPr>
      <w:r>
        <w:t xml:space="preserve">Beyond physical health outcomes,</w:t>
      </w:r>
      <w:r>
        <w:t xml:space="preserve"> </w:t>
      </w:r>
      <w:r>
        <w:rPr>
          <w:b/>
          <w:bCs/>
        </w:rPr>
        <w:t xml:space="preserve">Mediterranean diet adherence associates with improved health-related quality of life and reduced psychological distress</w:t>
      </w:r>
      <w:r>
        <w:t xml:space="preserve">. Systematic reviews demonstrate</w:t>
      </w:r>
      <w:r>
        <w:t xml:space="preserve"> </w:t>
      </w:r>
      <w:r>
        <w:rPr>
          <w:b/>
          <w:bCs/>
        </w:rPr>
        <w:t xml:space="preserve">inverse associations with depression risk</w:t>
      </w:r>
      <w:r>
        <w:t xml:space="preserve">, with the dietary pattern’s anti-inflammatory properties, B-vitamin content, and omega-3 fatty acids potentially mediating effects on neurotransmitter synthesis and neuroplasticity. The</w:t>
      </w:r>
      <w:r>
        <w:t xml:space="preserve"> </w:t>
      </w:r>
      <w:r>
        <w:rPr>
          <w:b/>
          <w:bCs/>
        </w:rPr>
        <w:t xml:space="preserve">social and behavioral components of traditional Mediterranean eating—communal meals, leisurely pace, cooking as creative activity—may independently contribute to mental well-being</w:t>
      </w:r>
      <w:r>
        <w:t xml:space="preserve">, complicating attribution of benefits to nutritional components alone. This holistic perspective aligns with the</w:t>
      </w:r>
      <w:r>
        <w:t xml:space="preserve"> </w:t>
      </w:r>
      <w:r>
        <w:rPr>
          <w:b/>
          <w:bCs/>
        </w:rPr>
        <w:t xml:space="preserve">biopsychosocial model of health</w:t>
      </w:r>
      <w:r>
        <w:t xml:space="preserve"> </w:t>
      </w:r>
      <w:r>
        <w:t xml:space="preserve">and suggests that dietary pattern recommendations should consider behavioral and social implementation contexts.</w:t>
      </w:r>
    </w:p>
    <w:bookmarkEnd w:id="99"/>
    <w:bookmarkEnd w:id="100"/>
    <w:bookmarkStart w:id="107" w:name="vegetarian-and-plant-based-diets"/>
    <w:p>
      <w:pPr>
        <w:pStyle w:val="3"/>
      </w:pPr>
      <w:r>
        <w:t xml:space="preserve">4.2 Vegetarian and Plant-Based Diets</w:t>
      </w:r>
    </w:p>
    <w:bookmarkStart w:id="101" w:name="Xee430e107e6a82d461338013acb3a47335acd0e"/>
    <w:p>
      <w:pPr>
        <w:pStyle w:val="4"/>
      </w:pPr>
      <w:r>
        <w:t xml:space="preserve">4.2.1 Spectrum: Lacto-Ovo-Vegetarian, Vegan, Pescatarian, Flexitarian</w:t>
      </w:r>
    </w:p>
    <w:p>
      <w:pPr>
        <w:pStyle w:val="FirstParagraph"/>
      </w:pPr>
      <w:r>
        <w:rPr>
          <w:b/>
          <w:bCs/>
        </w:rPr>
        <w:t xml:space="preserve">Vegetarian and plant-based diets encompass a spectrum of practices defined by which animal products are excluded</w:t>
      </w:r>
      <w:r>
        <w:t xml:space="preserve">:</w:t>
      </w:r>
    </w:p>
    <w:tbl>
      <w:tblPr>
        <w:tblStyle w:val="Table"/>
        <w:tblW w:type="pct" w:w="5000"/>
        <w:jc w:val="left"/>
        <w:tblLayout w:type="fixed"/>
        <w:tblLook w:firstRow="1" w:lastRow="0" w:firstColumn="0" w:lastColumn="0" w:noHBand="0" w:noVBand="0" w:val="0020"/>
      </w:tblPr>
      <w:tblGrid>
        <w:gridCol w:w="1320"/>
        <w:gridCol w:w="2262"/>
        <w:gridCol w:w="2262"/>
        <w:gridCol w:w="2074"/>
      </w:tblGrid>
      <w:tr>
        <w:trPr>
          <w:tblHeader w:val="on"/>
        </w:trPr>
        <w:tc>
          <w:tcPr/>
          <w:p>
            <w:pPr>
              <w:pStyle w:val="Compact"/>
              <w:jc w:val="left"/>
            </w:pPr>
            <w:r>
              <w:t xml:space="preserve">Dietary Pattern</w:t>
            </w:r>
          </w:p>
        </w:tc>
        <w:tc>
          <w:tcPr/>
          <w:p>
            <w:pPr>
              <w:pStyle w:val="Compact"/>
              <w:jc w:val="left"/>
            </w:pPr>
            <w:r>
              <w:t xml:space="preserve">Animal Products Included</w:t>
            </w:r>
          </w:p>
        </w:tc>
        <w:tc>
          <w:tcPr/>
          <w:p>
            <w:pPr>
              <w:pStyle w:val="Compact"/>
              <w:jc w:val="left"/>
            </w:pPr>
            <w:r>
              <w:t xml:space="preserve">Animal Products Excluded</w:t>
            </w:r>
          </w:p>
        </w:tc>
        <w:tc>
          <w:tcPr/>
          <w:p>
            <w:pPr>
              <w:pStyle w:val="Compact"/>
              <w:jc w:val="left"/>
            </w:pPr>
            <w:r>
              <w:t xml:space="preserve">Prevalence/Popularity</w:t>
            </w:r>
          </w:p>
        </w:tc>
      </w:tr>
      <w:tr>
        <w:tc>
          <w:tcPr/>
          <w:p>
            <w:pPr>
              <w:pStyle w:val="Compact"/>
              <w:jc w:val="left"/>
            </w:pPr>
            <w:r>
              <w:rPr>
                <w:b/>
                <w:bCs/>
              </w:rPr>
              <w:t xml:space="preserve">Lacto-ovo-vegetarian</w:t>
            </w:r>
          </w:p>
        </w:tc>
        <w:tc>
          <w:tcPr/>
          <w:p>
            <w:pPr>
              <w:pStyle w:val="Compact"/>
              <w:jc w:val="left"/>
            </w:pPr>
            <w:r>
              <w:t xml:space="preserve">Dairy, eggs</w:t>
            </w:r>
          </w:p>
        </w:tc>
        <w:tc>
          <w:tcPr/>
          <w:p>
            <w:pPr>
              <w:pStyle w:val="Compact"/>
              <w:jc w:val="left"/>
            </w:pPr>
            <w:r>
              <w:t xml:space="preserve">Meat, poultry, fish, seafood</w:t>
            </w:r>
          </w:p>
        </w:tc>
        <w:tc>
          <w:tcPr/>
          <w:p>
            <w:pPr>
              <w:pStyle w:val="Compact"/>
              <w:jc w:val="left"/>
            </w:pPr>
            <w:r>
              <w:t xml:space="preserve">Most common vegetarian form; traditional in many cultures</w:t>
            </w:r>
          </w:p>
        </w:tc>
      </w:tr>
      <w:tr>
        <w:tc>
          <w:tcPr/>
          <w:p>
            <w:pPr>
              <w:pStyle w:val="Compact"/>
              <w:jc w:val="left"/>
            </w:pPr>
            <w:r>
              <w:rPr>
                <w:b/>
                <w:bCs/>
              </w:rPr>
              <w:t xml:space="preserve">Lacto-vegetarian</w:t>
            </w:r>
          </w:p>
        </w:tc>
        <w:tc>
          <w:tcPr/>
          <w:p>
            <w:pPr>
              <w:pStyle w:val="Compact"/>
              <w:jc w:val="left"/>
            </w:pPr>
            <w:r>
              <w:t xml:space="preserve">Dairy</w:t>
            </w:r>
          </w:p>
        </w:tc>
        <w:tc>
          <w:tcPr/>
          <w:p>
            <w:pPr>
              <w:pStyle w:val="Compact"/>
              <w:jc w:val="left"/>
            </w:pPr>
            <w:r>
              <w:t xml:space="preserve">Eggs, meat, poultry, fish, seafood</w:t>
            </w:r>
          </w:p>
        </w:tc>
        <w:tc>
          <w:tcPr/>
          <w:p>
            <w:pPr>
              <w:pStyle w:val="Compact"/>
              <w:jc w:val="left"/>
            </w:pPr>
            <w:r>
              <w:t xml:space="preserve">Common in Indian subcontinent; some Buddhist traditions</w:t>
            </w:r>
          </w:p>
        </w:tc>
      </w:tr>
      <w:tr>
        <w:tc>
          <w:tcPr/>
          <w:p>
            <w:pPr>
              <w:pStyle w:val="Compact"/>
              <w:jc w:val="left"/>
            </w:pPr>
            <w:r>
              <w:rPr>
                <w:b/>
                <w:bCs/>
              </w:rPr>
              <w:t xml:space="preserve">Ovo-vegetarian</w:t>
            </w:r>
          </w:p>
        </w:tc>
        <w:tc>
          <w:tcPr/>
          <w:p>
            <w:pPr>
              <w:pStyle w:val="Compact"/>
              <w:jc w:val="left"/>
            </w:pPr>
            <w:r>
              <w:t xml:space="preserve">Eggs</w:t>
            </w:r>
          </w:p>
        </w:tc>
        <w:tc>
          <w:tcPr/>
          <w:p>
            <w:pPr>
              <w:pStyle w:val="Compact"/>
              <w:jc w:val="left"/>
            </w:pPr>
            <w:r>
              <w:t xml:space="preserve">Dairy, meat, poultry, fish, seafood</w:t>
            </w:r>
          </w:p>
        </w:tc>
        <w:tc>
          <w:tcPr/>
          <w:p>
            <w:pPr>
              <w:pStyle w:val="Compact"/>
              <w:jc w:val="left"/>
            </w:pPr>
            <w:r>
              <w:t xml:space="preserve">Less common; often transitional pattern</w:t>
            </w:r>
          </w:p>
        </w:tc>
      </w:tr>
      <w:tr>
        <w:tc>
          <w:tcPr/>
          <w:p>
            <w:pPr>
              <w:pStyle w:val="Compact"/>
              <w:jc w:val="left"/>
            </w:pPr>
            <w:r>
              <w:rPr>
                <w:b/>
                <w:bCs/>
              </w:rPr>
              <w:t xml:space="preserve">Vegan</w:t>
            </w:r>
          </w:p>
        </w:tc>
        <w:tc>
          <w:tcPr/>
          <w:p>
            <w:pPr>
              <w:pStyle w:val="Compact"/>
              <w:jc w:val="left"/>
            </w:pPr>
            <w:r>
              <w:t xml:space="preserve">None</w:t>
            </w:r>
          </w:p>
        </w:tc>
        <w:tc>
          <w:tcPr/>
          <w:p>
            <w:pPr>
              <w:pStyle w:val="Compact"/>
              <w:jc w:val="left"/>
            </w:pPr>
            <w:r>
              <w:t xml:space="preserve">All animal products and derivatives</w:t>
            </w:r>
          </w:p>
        </w:tc>
        <w:tc>
          <w:tcPr/>
          <w:p>
            <w:pPr>
              <w:pStyle w:val="Compact"/>
              <w:jc w:val="left"/>
            </w:pPr>
            <w:r>
              <w:t xml:space="preserve">Growing rapidly; 3–6% in Western populations; requires most planning</w:t>
            </w:r>
          </w:p>
        </w:tc>
      </w:tr>
      <w:tr>
        <w:tc>
          <w:tcPr/>
          <w:p>
            <w:pPr>
              <w:pStyle w:val="Compact"/>
              <w:jc w:val="left"/>
            </w:pPr>
            <w:r>
              <w:rPr>
                <w:b/>
                <w:bCs/>
              </w:rPr>
              <w:t xml:space="preserve">Pescatarian</w:t>
            </w:r>
          </w:p>
        </w:tc>
        <w:tc>
          <w:tcPr/>
          <w:p>
            <w:pPr>
              <w:pStyle w:val="Compact"/>
              <w:jc w:val="left"/>
            </w:pPr>
            <w:r>
              <w:t xml:space="preserve">Fish, seafood, dairy, eggs</w:t>
            </w:r>
          </w:p>
        </w:tc>
        <w:tc>
          <w:tcPr/>
          <w:p>
            <w:pPr>
              <w:pStyle w:val="Compact"/>
              <w:jc w:val="left"/>
            </w:pPr>
            <w:r>
              <w:t xml:space="preserve">Meat, poultry</w:t>
            </w:r>
          </w:p>
        </w:tc>
        <w:tc>
          <w:tcPr/>
          <w:p>
            <w:pPr>
              <w:pStyle w:val="Compact"/>
              <w:jc w:val="left"/>
            </w:pPr>
            <w:r>
              <w:t xml:space="preserve">Increasingly popular; captures marine omega-3 benefits</w:t>
            </w:r>
          </w:p>
        </w:tc>
      </w:tr>
      <w:tr>
        <w:tc>
          <w:tcPr/>
          <w:p>
            <w:pPr>
              <w:pStyle w:val="Compact"/>
              <w:jc w:val="left"/>
            </w:pPr>
            <w:r>
              <w:rPr>
                <w:b/>
                <w:bCs/>
              </w:rPr>
              <w:t xml:space="preserve">Flexitarian/semi-vegetarian</w:t>
            </w:r>
          </w:p>
        </w:tc>
        <w:tc>
          <w:tcPr/>
          <w:p>
            <w:pPr>
              <w:pStyle w:val="Compact"/>
              <w:jc w:val="left"/>
            </w:pPr>
            <w:r>
              <w:t xml:space="preserve">Occasional meat, poultry, fish</w:t>
            </w:r>
          </w:p>
        </w:tc>
        <w:tc>
          <w:tcPr/>
          <w:p>
            <w:pPr>
              <w:pStyle w:val="Compact"/>
              <w:jc w:val="left"/>
            </w:pPr>
            <w:r>
              <w:t xml:space="preserve">Reduced overall animal product intake</w:t>
            </w:r>
          </w:p>
        </w:tc>
        <w:tc>
          <w:tcPr/>
          <w:p>
            <w:pPr>
              <w:pStyle w:val="Compact"/>
              <w:jc w:val="left"/>
            </w:pPr>
            <w:r>
              <w:t xml:space="preserve">Most accessible entry point;</w:t>
            </w:r>
            <w:r>
              <w:t xml:space="preserve"> </w:t>
            </w:r>
            <w:r>
              <w:t xml:space="preserve">“</w:t>
            </w:r>
            <w:r>
              <w:t xml:space="preserve">reducetarian</w:t>
            </w:r>
            <w:r>
              <w:t xml:space="preserve">”</w:t>
            </w:r>
            <w:r>
              <w:t xml:space="preserve"> </w:t>
            </w:r>
            <w:r>
              <w:t xml:space="preserve">movement</w:t>
            </w:r>
          </w:p>
        </w:tc>
      </w:tr>
    </w:tbl>
    <w:p>
      <w:pPr>
        <w:pStyle w:val="a0"/>
      </w:pPr>
      <w:r>
        <w:t xml:space="preserve">This spectrum reflects</w:t>
      </w:r>
      <w:r>
        <w:t xml:space="preserve"> </w:t>
      </w:r>
      <w:r>
        <w:rPr>
          <w:b/>
          <w:bCs/>
        </w:rPr>
        <w:t xml:space="preserve">diverse motivations including health, environmental sustainability, animal welfare, religious practice, and economic considerations</w:t>
      </w:r>
      <w:r>
        <w:t xml:space="preserve">, with significant overlap among these drivers in individual choices.</w:t>
      </w:r>
    </w:p>
    <w:bookmarkEnd w:id="101"/>
    <w:bookmarkStart w:id="102" w:name="Xc1624c32719dc18fbbeeb3510209bf57c2e81fb"/>
    <w:p>
      <w:pPr>
        <w:pStyle w:val="4"/>
      </w:pPr>
      <w:r>
        <w:t xml:space="preserve">4.2.2 Nutritional Adequacy: Planning Requirements for Complete Proteins</w:t>
      </w:r>
    </w:p>
    <w:p>
      <w:pPr>
        <w:pStyle w:val="FirstParagraph"/>
      </w:pPr>
      <w:r>
        <w:rPr>
          <w:b/>
          <w:bCs/>
        </w:rPr>
        <w:t xml:space="preserve">Well-planned vegetarian diets can meet all nutritional requirements across the lifespan</w:t>
      </w:r>
      <w:r>
        <w:t xml:space="preserve">, including pregnancy, lactation, childhood, and adolescence, but</w:t>
      </w:r>
      <w:r>
        <w:t xml:space="preserve"> </w:t>
      </w:r>
      <w:r>
        <w:rPr>
          <w:b/>
          <w:bCs/>
        </w:rPr>
        <w:t xml:space="preserve">require greater attention to specific nutrients than omnivorous diets</w:t>
      </w:r>
      <w:r>
        <w:t xml:space="preserve">. Protein adequacy is achievable through</w:t>
      </w:r>
      <w:r>
        <w:t xml:space="preserve"> </w:t>
      </w:r>
      <w:r>
        <w:rPr>
          <w:b/>
          <w:bCs/>
        </w:rPr>
        <w:t xml:space="preserve">complementary combining of plant proteins</w:t>
      </w:r>
      <w:r>
        <w:t xml:space="preserve"> </w:t>
      </w:r>
      <w:r>
        <w:t xml:space="preserve">(grains with legumes, nuts with seeds) throughout the day, with soy products (tofu, tempeh, edamame) providing complete protein comparable in quality to animal sources.</w:t>
      </w:r>
      <w:r>
        <w:t xml:space="preserve"> </w:t>
      </w:r>
      <w:r>
        <w:rPr>
          <w:b/>
          <w:bCs/>
        </w:rPr>
        <w:t xml:space="preserve">Total protein intake on vegetarian diets often meets or exceeds requirements</w:t>
      </w:r>
      <w:r>
        <w:t xml:space="preserve">, particularly when energy intake is adequate and varied protein sources are consumed.</w:t>
      </w:r>
    </w:p>
    <w:p>
      <w:pPr>
        <w:pStyle w:val="a0"/>
      </w:pPr>
      <w:r>
        <w:t xml:space="preserve">The</w:t>
      </w:r>
      <w:r>
        <w:t xml:space="preserve"> </w:t>
      </w:r>
      <w:r>
        <w:rPr>
          <w:b/>
          <w:bCs/>
        </w:rPr>
        <w:t xml:space="preserve">bioavailability of certain nutrients from plant sources is lower than from animal sources</w:t>
      </w:r>
      <w:r>
        <w:t xml:space="preserve">, necessitating higher total intake or strategic food preparation:</w:t>
      </w:r>
    </w:p>
    <w:tbl>
      <w:tblPr>
        <w:tblStyle w:val="Table"/>
        <w:tblW w:type="pct" w:w="5000"/>
        <w:jc w:val="left"/>
        <w:tblLayout w:type="fixed"/>
        <w:tblLook w:firstRow="1" w:lastRow="0" w:firstColumn="0" w:lastColumn="0" w:noHBand="0" w:noVBand="0" w:val="0020"/>
      </w:tblPr>
      <w:tblGrid>
        <w:gridCol w:w="1228"/>
        <w:gridCol w:w="3686"/>
        <w:gridCol w:w="3004"/>
      </w:tblGrid>
      <w:tr>
        <w:trPr>
          <w:tblHeader w:val="on"/>
        </w:trPr>
        <w:tc>
          <w:tcPr/>
          <w:p>
            <w:pPr>
              <w:pStyle w:val="Compact"/>
              <w:jc w:val="left"/>
            </w:pPr>
            <w:r>
              <w:t xml:space="preserve">Nutrient</w:t>
            </w:r>
          </w:p>
        </w:tc>
        <w:tc>
          <w:tcPr/>
          <w:p>
            <w:pPr>
              <w:pStyle w:val="Compact"/>
              <w:jc w:val="left"/>
            </w:pPr>
            <w:r>
              <w:t xml:space="preserve">Plant Source Bioavailability</w:t>
            </w:r>
          </w:p>
        </w:tc>
        <w:tc>
          <w:tcPr/>
          <w:p>
            <w:pPr>
              <w:pStyle w:val="Compact"/>
              <w:jc w:val="left"/>
            </w:pPr>
            <w:r>
              <w:t xml:space="preserve">Enhancement Strategies</w:t>
            </w:r>
          </w:p>
        </w:tc>
      </w:tr>
      <w:tr>
        <w:tc>
          <w:tcPr/>
          <w:p>
            <w:pPr>
              <w:pStyle w:val="Compact"/>
              <w:jc w:val="left"/>
            </w:pPr>
            <w:r>
              <w:rPr>
                <w:b/>
                <w:bCs/>
              </w:rPr>
              <w:t xml:space="preserve">Iron</w:t>
            </w:r>
          </w:p>
        </w:tc>
        <w:tc>
          <w:tcPr/>
          <w:p>
            <w:pPr>
              <w:pStyle w:val="Compact"/>
              <w:jc w:val="left"/>
            </w:pPr>
            <w:r>
              <w:t xml:space="preserve">2–20% (non-heme) vs. 15–35% (heme)</w:t>
            </w:r>
          </w:p>
        </w:tc>
        <w:tc>
          <w:tcPr/>
          <w:p>
            <w:pPr>
              <w:pStyle w:val="Compact"/>
              <w:jc w:val="left"/>
            </w:pPr>
            <w:r>
              <w:t xml:space="preserve">Combine with vitamin C sources; avoid tea/coffee with meals; use cast iron cookware; consider fermentation</w:t>
            </w:r>
          </w:p>
        </w:tc>
      </w:tr>
      <w:tr>
        <w:tc>
          <w:tcPr/>
          <w:p>
            <w:pPr>
              <w:pStyle w:val="Compact"/>
              <w:jc w:val="left"/>
            </w:pPr>
            <w:r>
              <w:rPr>
                <w:b/>
                <w:bCs/>
              </w:rPr>
              <w:t xml:space="preserve">Zinc</w:t>
            </w:r>
          </w:p>
        </w:tc>
        <w:tc>
          <w:tcPr/>
          <w:p>
            <w:pPr>
              <w:pStyle w:val="Compact"/>
              <w:jc w:val="left"/>
            </w:pPr>
            <w:r>
              <w:t xml:space="preserve">Reduced by phytate binding</w:t>
            </w:r>
          </w:p>
        </w:tc>
        <w:tc>
          <w:tcPr/>
          <w:p>
            <w:pPr>
              <w:pStyle w:val="Compact"/>
              <w:jc w:val="left"/>
            </w:pPr>
            <w:r>
              <w:t xml:space="preserve">Soaking, sprouting, fermenting grains/legumes; leavening bread; consume zinc-rich foods (pumpkin seeds, cashews)</w:t>
            </w:r>
          </w:p>
        </w:tc>
      </w:tr>
      <w:tr>
        <w:tc>
          <w:tcPr/>
          <w:p>
            <w:pPr>
              <w:pStyle w:val="Compact"/>
              <w:jc w:val="left"/>
            </w:pPr>
            <w:r>
              <w:rPr>
                <w:b/>
                <w:bCs/>
              </w:rPr>
              <w:t xml:space="preserve">Calcium</w:t>
            </w:r>
          </w:p>
        </w:tc>
        <w:tc>
          <w:tcPr/>
          <w:p>
            <w:pPr>
              <w:pStyle w:val="Compact"/>
              <w:jc w:val="left"/>
            </w:pPr>
            <w:r>
              <w:t xml:space="preserve">Variable; oxalates reduce absorption in some greens</w:t>
            </w:r>
          </w:p>
        </w:tc>
        <w:tc>
          <w:tcPr/>
          <w:p>
            <w:pPr>
              <w:pStyle w:val="Compact"/>
              <w:jc w:val="left"/>
            </w:pPr>
            <w:r>
              <w:t xml:space="preserve">Choose low-oxalate greens (kale, bok choy); fortified plant milks; calcium-set tofu</w:t>
            </w:r>
          </w:p>
        </w:tc>
      </w:tr>
      <w:tr>
        <w:tc>
          <w:tcPr/>
          <w:p>
            <w:pPr>
              <w:pStyle w:val="Compact"/>
              <w:jc w:val="left"/>
            </w:pPr>
            <w:r>
              <w:rPr>
                <w:b/>
                <w:bCs/>
              </w:rPr>
              <w:t xml:space="preserve">Protein</w:t>
            </w:r>
          </w:p>
        </w:tc>
        <w:tc>
          <w:tcPr/>
          <w:p>
            <w:pPr>
              <w:pStyle w:val="Compact"/>
              <w:jc w:val="left"/>
            </w:pPr>
            <w:r>
              <w:t xml:space="preserve">Lower digestibility in some plant foods</w:t>
            </w:r>
          </w:p>
        </w:tc>
        <w:tc>
          <w:tcPr/>
          <w:p>
            <w:pPr>
              <w:pStyle w:val="Compact"/>
              <w:jc w:val="left"/>
            </w:pPr>
            <w:r>
              <w:t xml:space="preserve">Combine complementary sources; adequate energy intake; varied diet</w:t>
            </w:r>
          </w:p>
        </w:tc>
      </w:tr>
    </w:tbl>
    <w:bookmarkEnd w:id="102"/>
    <w:bookmarkStart w:id="103" w:name="Xf06d2d826fb7f7b14bc8d30f2b06c7e70211a0a"/>
    <w:p>
      <w:pPr>
        <w:pStyle w:val="4"/>
      </w:pPr>
      <w:r>
        <w:t xml:space="preserve">4.2.3 Critical Micronutrient Risks: B12, Iron, Zinc, Iodine, Vitamin D</w:t>
      </w:r>
    </w:p>
    <w:p>
      <w:pPr>
        <w:pStyle w:val="FirstParagraph"/>
      </w:pPr>
      <w:r>
        <w:rPr>
          <w:b/>
          <w:bCs/>
        </w:rPr>
        <w:t xml:space="preserve">Five micronutrients require particular vigilance on vegetarian and especially vegan diets</w:t>
      </w:r>
      <w:r>
        <w:t xml:space="preserve">:</w:t>
      </w:r>
    </w:p>
    <w:tbl>
      <w:tblPr>
        <w:tblStyle w:val="Table"/>
        <w:tblW w:type="pct" w:w="5000"/>
        <w:jc w:val="left"/>
        <w:tblLayout w:type="fixed"/>
        <w:tblLook w:firstRow="1" w:lastRow="0" w:firstColumn="0" w:lastColumn="0" w:noHBand="0" w:noVBand="0" w:val="0020"/>
      </w:tblPr>
      <w:tblGrid>
        <w:gridCol w:w="937"/>
        <w:gridCol w:w="1146"/>
        <w:gridCol w:w="2292"/>
        <w:gridCol w:w="3543"/>
      </w:tblGrid>
      <w:tr>
        <w:trPr>
          <w:tblHeader w:val="on"/>
        </w:trPr>
        <w:tc>
          <w:tcPr/>
          <w:p>
            <w:pPr>
              <w:pStyle w:val="Compact"/>
              <w:jc w:val="left"/>
            </w:pPr>
            <w:r>
              <w:t xml:space="preserve">Nutrient</w:t>
            </w:r>
          </w:p>
        </w:tc>
        <w:tc>
          <w:tcPr/>
          <w:p>
            <w:pPr>
              <w:pStyle w:val="Compact"/>
              <w:jc w:val="left"/>
            </w:pPr>
            <w:r>
              <w:t xml:space="preserve">Risk Level</w:t>
            </w:r>
          </w:p>
        </w:tc>
        <w:tc>
          <w:tcPr/>
          <w:p>
            <w:pPr>
              <w:pStyle w:val="Compact"/>
              <w:jc w:val="left"/>
            </w:pPr>
            <w:r>
              <w:t xml:space="preserve">Primary Plant Sources</w:t>
            </w:r>
          </w:p>
        </w:tc>
        <w:tc>
          <w:tcPr/>
          <w:p>
            <w:pPr>
              <w:pStyle w:val="Compact"/>
              <w:jc w:val="left"/>
            </w:pPr>
            <w:r>
              <w:t xml:space="preserve">Supplementation/Fortification Needs</w:t>
            </w:r>
          </w:p>
        </w:tc>
      </w:tr>
      <w:tr>
        <w:tc>
          <w:tcPr/>
          <w:p>
            <w:pPr>
              <w:pStyle w:val="Compact"/>
              <w:jc w:val="left"/>
            </w:pPr>
            <w:r>
              <w:rPr>
                <w:b/>
                <w:bCs/>
              </w:rPr>
              <w:t xml:space="preserve">Vitamin B12</w:t>
            </w:r>
          </w:p>
        </w:tc>
        <w:tc>
          <w:tcPr/>
          <w:p>
            <w:pPr>
              <w:pStyle w:val="Compact"/>
              <w:jc w:val="left"/>
            </w:pPr>
            <w:r>
              <w:rPr>
                <w:b/>
                <w:bCs/>
              </w:rPr>
              <w:t xml:space="preserve">Critical—essentially absent from unfortified plant foods</w:t>
            </w:r>
          </w:p>
        </w:tc>
        <w:tc>
          <w:tcPr/>
          <w:p>
            <w:pPr>
              <w:pStyle w:val="Compact"/>
              <w:jc w:val="left"/>
            </w:pPr>
            <w:r>
              <w:t xml:space="preserve">Fortified nutritional yeast, plant milks, breakfast cereals; supplements</w:t>
            </w:r>
          </w:p>
        </w:tc>
        <w:tc>
          <w:tcPr/>
          <w:p>
            <w:pPr>
              <w:pStyle w:val="Compact"/>
              <w:jc w:val="left"/>
            </w:pPr>
            <w:r>
              <w:rPr>
                <w:b/>
                <w:bCs/>
              </w:rPr>
              <w:t xml:space="preserve">Mandatory for vegans; recommended for all vegetarians</w:t>
            </w:r>
          </w:p>
        </w:tc>
      </w:tr>
      <w:tr>
        <w:tc>
          <w:tcPr/>
          <w:p>
            <w:pPr>
              <w:pStyle w:val="Compact"/>
              <w:jc w:val="left"/>
            </w:pPr>
            <w:r>
              <w:rPr>
                <w:b/>
                <w:bCs/>
              </w:rPr>
              <w:t xml:space="preserve">Iron</w:t>
            </w:r>
          </w:p>
        </w:tc>
        <w:tc>
          <w:tcPr/>
          <w:p>
            <w:pPr>
              <w:pStyle w:val="Compact"/>
              <w:jc w:val="left"/>
            </w:pPr>
            <w:r>
              <w:t xml:space="preserve">Elevated, especially for women</w:t>
            </w:r>
          </w:p>
        </w:tc>
        <w:tc>
          <w:tcPr/>
          <w:p>
            <w:pPr>
              <w:pStyle w:val="Compact"/>
              <w:jc w:val="left"/>
            </w:pPr>
            <w:r>
              <w:t xml:space="preserve">Legumes, dark leafy greens, fortified cereals, pumpkin seeds, quinoa</w:t>
            </w:r>
          </w:p>
        </w:tc>
        <w:tc>
          <w:tcPr/>
          <w:p>
            <w:pPr>
              <w:pStyle w:val="Compact"/>
              <w:jc w:val="left"/>
            </w:pPr>
            <w:r>
              <w:t xml:space="preserve">Often necessary for menstruating women; monitor ferritin</w:t>
            </w:r>
          </w:p>
        </w:tc>
      </w:tr>
      <w:tr>
        <w:tc>
          <w:tcPr/>
          <w:p>
            <w:pPr>
              <w:pStyle w:val="Compact"/>
              <w:jc w:val="left"/>
            </w:pPr>
            <w:r>
              <w:rPr>
                <w:b/>
                <w:bCs/>
              </w:rPr>
              <w:t xml:space="preserve">Zinc</w:t>
            </w:r>
          </w:p>
        </w:tc>
        <w:tc>
          <w:tcPr/>
          <w:p>
            <w:pPr>
              <w:pStyle w:val="Compact"/>
              <w:jc w:val="left"/>
            </w:pPr>
            <w:r>
              <w:t xml:space="preserve">Moderate elevation</w:t>
            </w:r>
          </w:p>
        </w:tc>
        <w:tc>
          <w:tcPr/>
          <w:p>
            <w:pPr>
              <w:pStyle w:val="Compact"/>
              <w:jc w:val="left"/>
            </w:pPr>
            <w:r>
              <w:t xml:space="preserve">Legumes, nuts, seeds, whole grains, soy products</w:t>
            </w:r>
          </w:p>
        </w:tc>
        <w:tc>
          <w:tcPr/>
          <w:p>
            <w:pPr>
              <w:pStyle w:val="Compact"/>
              <w:jc w:val="left"/>
            </w:pPr>
            <w:r>
              <w:t xml:space="preserve">Consider if intake low or signs of deficiency present</w:t>
            </w:r>
          </w:p>
        </w:tc>
      </w:tr>
      <w:tr>
        <w:tc>
          <w:tcPr/>
          <w:p>
            <w:pPr>
              <w:pStyle w:val="Compact"/>
              <w:jc w:val="left"/>
            </w:pPr>
            <w:r>
              <w:rPr>
                <w:b/>
                <w:bCs/>
              </w:rPr>
              <w:t xml:space="preserve">Iodine</w:t>
            </w:r>
          </w:p>
        </w:tc>
        <w:tc>
          <w:tcPr/>
          <w:p>
            <w:pPr>
              <w:pStyle w:val="Compact"/>
              <w:jc w:val="left"/>
            </w:pPr>
            <w:r>
              <w:t xml:space="preserve">Elevated if iodized salt excluded</w:t>
            </w:r>
          </w:p>
        </w:tc>
        <w:tc>
          <w:tcPr/>
          <w:p>
            <w:pPr>
              <w:pStyle w:val="Compact"/>
              <w:jc w:val="left"/>
            </w:pPr>
            <w:r>
              <w:t xml:space="preserve">Seaweed (variable, potentially excessive), fortified salt, supplements</w:t>
            </w:r>
          </w:p>
        </w:tc>
        <w:tc>
          <w:tcPr/>
          <w:p>
            <w:pPr>
              <w:pStyle w:val="Compact"/>
              <w:jc w:val="left"/>
            </w:pPr>
            <w:r>
              <w:t xml:space="preserve">Recommended if iodized salt not used; prenatal essential</w:t>
            </w:r>
          </w:p>
        </w:tc>
      </w:tr>
      <w:tr>
        <w:tc>
          <w:tcPr/>
          <w:p>
            <w:pPr>
              <w:pStyle w:val="Compact"/>
              <w:jc w:val="left"/>
            </w:pPr>
            <w:r>
              <w:rPr>
                <w:b/>
                <w:bCs/>
              </w:rPr>
              <w:t xml:space="preserve">Vitamin D</w:t>
            </w:r>
          </w:p>
        </w:tc>
        <w:tc>
          <w:tcPr/>
          <w:p>
            <w:pPr>
              <w:pStyle w:val="Compact"/>
              <w:jc w:val="left"/>
            </w:pPr>
            <w:r>
              <w:t xml:space="preserve">Similar to general population; sun exposure dependent</w:t>
            </w:r>
          </w:p>
        </w:tc>
        <w:tc>
          <w:tcPr/>
          <w:p>
            <w:pPr>
              <w:pStyle w:val="Compact"/>
              <w:jc w:val="left"/>
            </w:pPr>
            <w:r>
              <w:t xml:space="preserve">Fortified plant milks, UV-exposed mushrooms</w:t>
            </w:r>
          </w:p>
        </w:tc>
        <w:tc>
          <w:tcPr/>
          <w:p>
            <w:pPr>
              <w:pStyle w:val="Compact"/>
              <w:jc w:val="left"/>
            </w:pPr>
            <w:r>
              <w:t xml:space="preserve">Recommended for all with limited sun exposure, especially in winter</w:t>
            </w:r>
          </w:p>
        </w:tc>
      </w:tr>
    </w:tbl>
    <w:p>
      <w:pPr>
        <w:pStyle w:val="a0"/>
      </w:pPr>
      <w:r>
        <w:t xml:space="preserve">The</w:t>
      </w:r>
      <w:r>
        <w:t xml:space="preserve"> </w:t>
      </w:r>
      <w:r>
        <w:rPr>
          <w:b/>
          <w:bCs/>
        </w:rPr>
        <w:t xml:space="preserve">absence of reliable plant-based B12 sources places unsupplemented vegans at high risk for deficiency</w:t>
      </w:r>
      <w:r>
        <w:t xml:space="preserve">, which can develop insidiously over years due to substantial hepatic stores (2–5 mg) but eventually manifests with</w:t>
      </w:r>
      <w:r>
        <w:t xml:space="preserve"> </w:t>
      </w:r>
      <w:r>
        <w:rPr>
          <w:b/>
          <w:bCs/>
        </w:rPr>
        <w:t xml:space="preserve">potentially irreversible neurological consequences including myelopathy, peripheral neuropathy, and cognitive impairment</w:t>
      </w:r>
      <w:r>
        <w:t xml:space="preserve">. The</w:t>
      </w:r>
      <w:r>
        <w:t xml:space="preserve"> </w:t>
      </w:r>
      <w:r>
        <w:rPr>
          <w:b/>
          <w:bCs/>
        </w:rPr>
        <w:t xml:space="preserve">masking of B12 deficiency by high folate intake</w:t>
      </w:r>
      <w:r>
        <w:t xml:space="preserve">—common in plant-rich diets—represents a particularly dangerous scenario where hematological abnormalities are corrected while neurological damage progresses unchecked.</w:t>
      </w:r>
    </w:p>
    <w:bookmarkEnd w:id="103"/>
    <w:bookmarkStart w:id="104" w:name="X2538616bf6f5865a02472c43bf8a2f45edfe723"/>
    <w:p>
      <w:pPr>
        <w:pStyle w:val="4"/>
      </w:pPr>
      <w:r>
        <w:t xml:space="preserve">4.2.4 Pediatric Considerations: Deficiency Prevalence and Supplementation Needs</w:t>
      </w:r>
    </w:p>
    <w:p>
      <w:pPr>
        <w:pStyle w:val="FirstParagraph"/>
      </w:pPr>
      <w:r>
        <w:rPr>
          <w:b/>
          <w:bCs/>
        </w:rPr>
        <w:t xml:space="preserve">Children on vegetarian diets require particular attention to ensure adequate growth and development</w:t>
      </w:r>
      <w:r>
        <w:t xml:space="preserve">. The risk of vitamin B12 deficiency in vegetarian children has been systematically assessed, with</w:t>
      </w:r>
      <w:r>
        <w:t xml:space="preserve"> </w:t>
      </w:r>
      <w:r>
        <w:rPr>
          <w:b/>
          <w:bCs/>
        </w:rPr>
        <w:t xml:space="preserve">prevalence estimates of 25–85% in vegetarian children and 21–41% in vegetarian adolescents</w:t>
      </w:r>
      <w:r>
        <w:t xml:space="preserve">, with highest rates in vegans and those adhering to restrictive diets from birth</w:t>
      </w:r>
      <w:r>
        <w:t xml:space="preserve"> </w:t>
      </w:r>
      <w:hyperlink r:id="rId33">
        <w:r>
          <w:rPr>
            <w:rStyle w:val="af"/>
          </w:rPr>
          <w:t xml:space="preserve">(nih.gov)</w:t>
        </w:r>
      </w:hyperlink>
      <w:r>
        <w:t xml:space="preserve"> </w:t>
      </w:r>
      <w:r>
        <w:t xml:space="preserve">.</w:t>
      </w:r>
      <w:r>
        <w:t xml:space="preserve"> </w:t>
      </w:r>
      <w:r>
        <w:rPr>
          <w:b/>
          <w:bCs/>
        </w:rPr>
        <w:t xml:space="preserve">Newborns from vegan or macrobiotic mothers are particularly vulnerable</w:t>
      </w:r>
      <w:r>
        <w:t xml:space="preserve"> </w:t>
      </w:r>
      <w:r>
        <w:t xml:space="preserve">due to dependence on maternal stores and breast milk content, with deficiency potentially causing</w:t>
      </w:r>
      <w:r>
        <w:t xml:space="preserve"> </w:t>
      </w:r>
      <w:r>
        <w:rPr>
          <w:b/>
          <w:bCs/>
        </w:rPr>
        <w:t xml:space="preserve">irreversible neurological damage in infancy</w:t>
      </w:r>
      <w:r>
        <w:t xml:space="preserve">. Reported deficiency prevalence reaches</w:t>
      </w:r>
      <w:r>
        <w:t xml:space="preserve"> </w:t>
      </w:r>
      <w:r>
        <w:rPr>
          <w:b/>
          <w:bCs/>
        </w:rPr>
        <w:t xml:space="preserve">62% in pregnant vegetarians</w:t>
      </w:r>
      <w:r>
        <w:t xml:space="preserve">, highlighting critical importance of preconception and prenatal status assessment and supplementation</w:t>
      </w:r>
      <w:r>
        <w:t xml:space="preserve"> </w:t>
      </w:r>
      <w:hyperlink r:id="rId33">
        <w:r>
          <w:rPr>
            <w:rStyle w:val="af"/>
          </w:rPr>
          <w:t xml:space="preserve">(nih.gov)</w:t>
        </w:r>
      </w:hyperlink>
      <w:r>
        <w:t xml:space="preserve"> </w:t>
      </w:r>
      <w:r>
        <w:t xml:space="preserve">.</w:t>
      </w:r>
    </w:p>
    <w:p>
      <w:pPr>
        <w:pStyle w:val="a0"/>
      </w:pPr>
      <w:r>
        <w:t xml:space="preserve">Clinical manifestations of B12 deficiency in children include</w:t>
      </w:r>
      <w:r>
        <w:t xml:space="preserve"> </w:t>
      </w:r>
      <w:r>
        <w:rPr>
          <w:b/>
          <w:bCs/>
        </w:rPr>
        <w:t xml:space="preserve">developmental delay or regression, megaloblastic anemia, and in severe cases cerebral atrophy</w:t>
      </w:r>
      <w:r>
        <w:t xml:space="preserve"> </w:t>
      </w:r>
      <w:r>
        <w:t xml:space="preserve">documented on neuroimaging</w:t>
      </w:r>
      <w:r>
        <w:t xml:space="preserve"> </w:t>
      </w:r>
      <w:hyperlink r:id="rId33">
        <w:r>
          <w:rPr>
            <w:rStyle w:val="af"/>
          </w:rPr>
          <w:t xml:space="preserve">(nih.gov)</w:t>
        </w:r>
      </w:hyperlink>
      <w:r>
        <w:t xml:space="preserve"> </w:t>
      </w:r>
      <w:r>
        <w:t xml:space="preserve">. For all vegetarian children,</w:t>
      </w:r>
      <w:r>
        <w:t xml:space="preserve"> </w:t>
      </w:r>
      <w:r>
        <w:rPr>
          <w:b/>
          <w:bCs/>
        </w:rPr>
        <w:t xml:space="preserve">routine monitoring of growth velocity, hemoglobin, ferritin, vitamin B12, and vitamin D status is recommended</w:t>
      </w:r>
      <w:r>
        <w:t xml:space="preserve">, with proactive supplementation rather than awaiting deficiency signs.</w:t>
      </w:r>
      <w:r>
        <w:t xml:space="preserve"> </w:t>
      </w:r>
      <w:r>
        <w:rPr>
          <w:b/>
          <w:bCs/>
        </w:rPr>
        <w:t xml:space="preserve">Breastfed infants of vegan mothers require B12 supplementation from birth</w:t>
      </w:r>
      <w:r>
        <w:t xml:space="preserve">, and introduction of solid foods should emphasize iron-rich and zinc-rich options appropriate for developmental stage.</w:t>
      </w:r>
    </w:p>
    <w:bookmarkEnd w:id="104"/>
    <w:bookmarkStart w:id="105" w:name="X17711eb0af2cdfbb19e3734500c5ce172a9d2f3"/>
    <w:p>
      <w:pPr>
        <w:pStyle w:val="4"/>
      </w:pPr>
      <w:r>
        <w:t xml:space="preserve">4.2.5 Pregnancy and Childhood: Contraindications for Vegan and Macrobiotic Diets</w:t>
      </w:r>
    </w:p>
    <w:p>
      <w:pPr>
        <w:pStyle w:val="FirstParagraph"/>
      </w:pPr>
      <w:r>
        <w:t xml:space="preserve">While</w:t>
      </w:r>
      <w:r>
        <w:t xml:space="preserve"> </w:t>
      </w:r>
      <w:r>
        <w:rPr>
          <w:b/>
          <w:bCs/>
        </w:rPr>
        <w:t xml:space="preserve">well-planned vegan diets can support healthy pregnancy outcomes</w:t>
      </w:r>
      <w:r>
        <w:t xml:space="preserve">, certain</w:t>
      </w:r>
      <w:r>
        <w:t xml:space="preserve"> </w:t>
      </w:r>
      <w:r>
        <w:rPr>
          <w:b/>
          <w:bCs/>
        </w:rPr>
        <w:t xml:space="preserve">restrictive dietary patterns carry elevated risk and require professional supervision</w:t>
      </w:r>
      <w:r>
        <w:t xml:space="preserve">.</w:t>
      </w:r>
      <w:r>
        <w:t xml:space="preserve"> </w:t>
      </w:r>
      <w:r>
        <w:rPr>
          <w:b/>
          <w:bCs/>
        </w:rPr>
        <w:t xml:space="preserve">Macrobiotic diets, which severely limit food variety and may exclude entire food groups, are contraindicated in pregnancy and childhood</w:t>
      </w:r>
      <w:r>
        <w:t xml:space="preserve"> </w:t>
      </w:r>
      <w:r>
        <w:t xml:space="preserve">due to high risk of multiple nutrient deficiencies, growth faltering, and developmental impairment. Case reports document</w:t>
      </w:r>
      <w:r>
        <w:t xml:space="preserve"> </w:t>
      </w:r>
      <w:r>
        <w:rPr>
          <w:b/>
          <w:bCs/>
        </w:rPr>
        <w:t xml:space="preserve">protein-energy malnutrition, vitamin B12 deficiency, iron deficiency anemia, rickets, and failure to thrive in children on unsupervised restrictive vegan or macrobiotic diets</w:t>
      </w:r>
      <w:r>
        <w:t xml:space="preserve">.</w:t>
      </w:r>
    </w:p>
    <w:p>
      <w:pPr>
        <w:pStyle w:val="a0"/>
      </w:pPr>
      <w:r>
        <w:t xml:space="preserve">For vegan pregnancy,</w:t>
      </w:r>
      <w:r>
        <w:t xml:space="preserve"> </w:t>
      </w:r>
      <w:r>
        <w:rPr>
          <w:b/>
          <w:bCs/>
        </w:rPr>
        <w:t xml:space="preserve">particular attention is required to</w:t>
      </w:r>
      <w:r>
        <w:t xml:space="preserve">: protein adequacy (1.1 g/kg pre-pregnancy weight minimum, higher in later trimesters); vitamin B12 supplementation (mandatory); iron monitoring and supplementation; iodine supplementation (250 mcg daily if iodized salt not used); vitamin D supplementation; DHA supplementation (algae-derived); zinc adequacy; and calcium from fortified sources or supplements.</w:t>
      </w:r>
      <w:r>
        <w:t xml:space="preserve"> </w:t>
      </w:r>
      <w:r>
        <w:rPr>
          <w:b/>
          <w:bCs/>
        </w:rPr>
        <w:t xml:space="preserve">Prenatal care for vegan women should include early and ongoing nutritional assessment with a registered dietitian experienced in plant-based nutrition</w:t>
      </w:r>
      <w:r>
        <w:t xml:space="preserve">.</w:t>
      </w:r>
    </w:p>
    <w:bookmarkEnd w:id="105"/>
    <w:bookmarkStart w:id="106" w:name="Xbb45bb3603520815009f87894fd7dbabd13ce76"/>
    <w:p>
      <w:pPr>
        <w:pStyle w:val="4"/>
      </w:pPr>
      <w:r>
        <w:t xml:space="preserve">4.2.6 Health Benefits: Reduced Cardiovascular and Certain Cancer Risks When Well-Planned</w:t>
      </w:r>
    </w:p>
    <w:p>
      <w:pPr>
        <w:pStyle w:val="FirstParagraph"/>
      </w:pPr>
      <w:r>
        <w:rPr>
          <w:b/>
          <w:bCs/>
        </w:rPr>
        <w:t xml:space="preserve">When well-planned, vegetarian diets demonstrate multiple health advantages</w:t>
      </w:r>
      <w:r>
        <w:t xml:space="preserve">:</w:t>
      </w:r>
    </w:p>
    <w:tbl>
      <w:tblPr>
        <w:tblStyle w:val="Table"/>
        <w:tblW w:type="pct" w:w="5000"/>
        <w:jc w:val="left"/>
        <w:tblLayout w:type="fixed"/>
        <w:tblLook w:firstRow="1" w:lastRow="0" w:firstColumn="0" w:lastColumn="0" w:noHBand="0" w:noVBand="0" w:val="0020"/>
      </w:tblPr>
      <w:tblGrid>
        <w:gridCol w:w="1584"/>
        <w:gridCol w:w="2640"/>
        <w:gridCol w:w="3696"/>
      </w:tblGrid>
      <w:tr>
        <w:trPr>
          <w:tblHeader w:val="on"/>
        </w:trPr>
        <w:tc>
          <w:tcPr/>
          <w:p>
            <w:pPr>
              <w:pStyle w:val="Compact"/>
              <w:jc w:val="left"/>
            </w:pPr>
            <w:r>
              <w:t xml:space="preserve">Outcome</w:t>
            </w:r>
          </w:p>
        </w:tc>
        <w:tc>
          <w:tcPr/>
          <w:p>
            <w:pPr>
              <w:pStyle w:val="Compact"/>
              <w:jc w:val="left"/>
            </w:pPr>
            <w:r>
              <w:t xml:space="preserve">Evidence Summary</w:t>
            </w:r>
          </w:p>
        </w:tc>
        <w:tc>
          <w:tcPr/>
          <w:p>
            <w:pPr>
              <w:pStyle w:val="Compact"/>
              <w:jc w:val="left"/>
            </w:pPr>
            <w:r>
              <w:t xml:space="preserve">Probable Mechanisms</w:t>
            </w:r>
          </w:p>
        </w:tc>
      </w:tr>
      <w:tr>
        <w:tc>
          <w:tcPr/>
          <w:p>
            <w:pPr>
              <w:pStyle w:val="Compact"/>
              <w:jc w:val="left"/>
            </w:pPr>
            <w:r>
              <w:rPr>
                <w:b/>
                <w:bCs/>
              </w:rPr>
              <w:t xml:space="preserve">Cardiovascular disease</w:t>
            </w:r>
          </w:p>
        </w:tc>
        <w:tc>
          <w:tcPr/>
          <w:p>
            <w:pPr>
              <w:pStyle w:val="Compact"/>
              <w:jc w:val="left"/>
            </w:pPr>
            <w:r>
              <w:t xml:space="preserve">15–30% reduced risk in meta-analyses</w:t>
            </w:r>
          </w:p>
        </w:tc>
        <w:tc>
          <w:tcPr/>
          <w:p>
            <w:pPr>
              <w:pStyle w:val="Compact"/>
              <w:jc w:val="left"/>
            </w:pPr>
            <w:r>
              <w:t xml:space="preserve">Lower saturated fat intake; higher fiber; improved lipid profile; lower BMI; higher potassium, magnesium, antioxidant intake</w:t>
            </w:r>
          </w:p>
        </w:tc>
      </w:tr>
      <w:tr>
        <w:tc>
          <w:tcPr/>
          <w:p>
            <w:pPr>
              <w:pStyle w:val="Compact"/>
              <w:jc w:val="left"/>
            </w:pPr>
            <w:r>
              <w:rPr>
                <w:b/>
                <w:bCs/>
              </w:rPr>
              <w:t xml:space="preserve">Type 2 diabetes</w:t>
            </w:r>
          </w:p>
        </w:tc>
        <w:tc>
          <w:tcPr/>
          <w:p>
            <w:pPr>
              <w:pStyle w:val="Compact"/>
              <w:jc w:val="left"/>
            </w:pPr>
            <w:r>
              <w:t xml:space="preserve">35–50% reduced risk</w:t>
            </w:r>
          </w:p>
        </w:tc>
        <w:tc>
          <w:tcPr/>
          <w:p>
            <w:pPr>
              <w:pStyle w:val="Compact"/>
              <w:jc w:val="left"/>
            </w:pPr>
            <w:r>
              <w:t xml:space="preserve">Lower BMI; higher fiber; improved insulin sensitivity; reduced heme iron intake</w:t>
            </w:r>
          </w:p>
        </w:tc>
      </w:tr>
      <w:tr>
        <w:tc>
          <w:tcPr/>
          <w:p>
            <w:pPr>
              <w:pStyle w:val="Compact"/>
              <w:jc w:val="left"/>
            </w:pPr>
            <w:r>
              <w:rPr>
                <w:b/>
                <w:bCs/>
              </w:rPr>
              <w:t xml:space="preserve">Hypertension</w:t>
            </w:r>
          </w:p>
        </w:tc>
        <w:tc>
          <w:tcPr/>
          <w:p>
            <w:pPr>
              <w:pStyle w:val="Compact"/>
              <w:jc w:val="left"/>
            </w:pPr>
            <w:r>
              <w:t xml:space="preserve">Lower prevalence and better control</w:t>
            </w:r>
          </w:p>
        </w:tc>
        <w:tc>
          <w:tcPr/>
          <w:p>
            <w:pPr>
              <w:pStyle w:val="Compact"/>
              <w:jc w:val="left"/>
            </w:pPr>
            <w:r>
              <w:t xml:space="preserve">Higher potassium; lower sodium; improved endothelial function; lower BMI</w:t>
            </w:r>
          </w:p>
        </w:tc>
      </w:tr>
      <w:tr>
        <w:tc>
          <w:tcPr/>
          <w:p>
            <w:pPr>
              <w:pStyle w:val="Compact"/>
              <w:jc w:val="left"/>
            </w:pPr>
            <w:r>
              <w:rPr>
                <w:b/>
                <w:bCs/>
              </w:rPr>
              <w:t xml:space="preserve">Colorectal cancer</w:t>
            </w:r>
          </w:p>
        </w:tc>
        <w:tc>
          <w:tcPr/>
          <w:p>
            <w:pPr>
              <w:pStyle w:val="Compact"/>
              <w:jc w:val="left"/>
            </w:pPr>
            <w:r>
              <w:t xml:space="preserve">Mixed evidence; possibly reduced</w:t>
            </w:r>
          </w:p>
        </w:tc>
        <w:tc>
          <w:tcPr/>
          <w:p>
            <w:pPr>
              <w:pStyle w:val="Compact"/>
              <w:jc w:val="left"/>
            </w:pPr>
            <w:r>
              <w:t xml:space="preserve">Higher fiber; reduced heme iron and processed meat; but variable by specific vegetarian type</w:t>
            </w:r>
          </w:p>
        </w:tc>
      </w:tr>
      <w:tr>
        <w:tc>
          <w:tcPr/>
          <w:p>
            <w:pPr>
              <w:pStyle w:val="Compact"/>
              <w:jc w:val="left"/>
            </w:pPr>
            <w:r>
              <w:rPr>
                <w:b/>
                <w:bCs/>
              </w:rPr>
              <w:t xml:space="preserve">Overall mortality</w:t>
            </w:r>
          </w:p>
        </w:tc>
        <w:tc>
          <w:tcPr/>
          <w:p>
            <w:pPr>
              <w:pStyle w:val="Compact"/>
              <w:jc w:val="left"/>
            </w:pPr>
            <w:r>
              <w:t xml:space="preserve">Modestly reduced (5–10%) in most studies</w:t>
            </w:r>
          </w:p>
        </w:tc>
        <w:tc>
          <w:tcPr/>
          <w:p>
            <w:pPr>
              <w:pStyle w:val="Compact"/>
              <w:jc w:val="left"/>
            </w:pPr>
            <w:r>
              <w:t xml:space="preserve">Combined effects on cardiovascular disease, cancer, and metabolic health</w:t>
            </w:r>
          </w:p>
        </w:tc>
      </w:tr>
    </w:tbl>
    <w:p>
      <w:pPr>
        <w:pStyle w:val="a0"/>
      </w:pPr>
      <w:r>
        <w:t xml:space="preserve">These benefits are</w:t>
      </w:r>
      <w:r>
        <w:t xml:space="preserve"> </w:t>
      </w:r>
      <w:r>
        <w:rPr>
          <w:b/>
          <w:bCs/>
        </w:rPr>
        <w:t xml:space="preserve">attributable both to dietary pattern characteristics and to associated lifestyle factors</w:t>
      </w:r>
      <w:r>
        <w:t xml:space="preserve"> </w:t>
      </w:r>
      <w:r>
        <w:t xml:space="preserve">(lower smoking rates, higher physical activity, lower BMI), with careful epidemiological adjustment attempting to isolate independent dietary effects. The</w:t>
      </w:r>
      <w:r>
        <w:t xml:space="preserve"> </w:t>
      </w:r>
      <w:r>
        <w:rPr>
          <w:b/>
          <w:bCs/>
        </w:rPr>
        <w:t xml:space="preserve">quality of vegetarian diet matters substantially</w:t>
      </w:r>
      <w:r>
        <w:t xml:space="preserve">:</w:t>
      </w:r>
      <w:r>
        <w:t xml:space="preserve"> </w:t>
      </w:r>
      <w:r>
        <w:t xml:space="preserve">“</w:t>
      </w:r>
      <w:r>
        <w:t xml:space="preserve">junk food vegetarianism</w:t>
      </w:r>
      <w:r>
        <w:t xml:space="preserve">”</w:t>
      </w:r>
      <w:r>
        <w:t xml:space="preserve"> </w:t>
      </w:r>
      <w:r>
        <w:t xml:space="preserve">relying on refined grains, cheese, and processed meat substitutes may not confer the same benefits as whole-food plant-based patterns rich in vegetables, fruits, legumes, nuts, and seeds.</w:t>
      </w:r>
    </w:p>
    <w:bookmarkEnd w:id="106"/>
    <w:bookmarkEnd w:id="107"/>
    <w:bookmarkStart w:id="114" w:name="low-carbohydrate-diets"/>
    <w:p>
      <w:pPr>
        <w:pStyle w:val="3"/>
      </w:pPr>
      <w:r>
        <w:t xml:space="preserve">4.3 Low-Carbohydrate Diets</w:t>
      </w:r>
    </w:p>
    <w:bookmarkStart w:id="108" w:name="X3181c2558dda5cf6af6e03228e09dd97e6a2ad2"/>
    <w:p>
      <w:pPr>
        <w:pStyle w:val="4"/>
      </w:pPr>
      <w:r>
        <w:t xml:space="preserve">4.3.1 Variants: Ketogenic, Atkins, Moderate Carbohydrate Restriction</w:t>
      </w:r>
    </w:p>
    <w:p>
      <w:pPr>
        <w:pStyle w:val="FirstParagraph"/>
      </w:pPr>
      <w:r>
        <w:rPr>
          <w:b/>
          <w:bCs/>
        </w:rPr>
        <w:t xml:space="preserve">Low-carbohydrate diets encompass a range of carbohydrate restriction levels</w:t>
      </w:r>
      <w:r>
        <w:t xml:space="preserve">, from moderate reduction to near-total elimination:</w:t>
      </w:r>
    </w:p>
    <w:tbl>
      <w:tblPr>
        <w:tblStyle w:val="Table"/>
        <w:tblW w:type="pct" w:w="5000"/>
        <w:jc w:val="left"/>
        <w:tblLayout w:type="fixed"/>
        <w:tblLook w:firstRow="1" w:lastRow="0" w:firstColumn="0" w:lastColumn="0" w:noHBand="0" w:noVBand="0" w:val="0020"/>
      </w:tblPr>
      <w:tblGrid>
        <w:gridCol w:w="918"/>
        <w:gridCol w:w="2180"/>
        <w:gridCol w:w="1033"/>
        <w:gridCol w:w="2180"/>
        <w:gridCol w:w="1606"/>
      </w:tblGrid>
      <w:tr>
        <w:trPr>
          <w:tblHeader w:val="on"/>
        </w:trPr>
        <w:tc>
          <w:tcPr/>
          <w:p>
            <w:pPr>
              <w:pStyle w:val="Compact"/>
              <w:jc w:val="left"/>
            </w:pPr>
            <w:r>
              <w:t xml:space="preserve">Variant</w:t>
            </w:r>
          </w:p>
        </w:tc>
        <w:tc>
          <w:tcPr/>
          <w:p>
            <w:pPr>
              <w:pStyle w:val="Compact"/>
              <w:jc w:val="left"/>
            </w:pPr>
            <w:r>
              <w:t xml:space="preserve">Carbohydrate Intake</w:t>
            </w:r>
          </w:p>
        </w:tc>
        <w:tc>
          <w:tcPr/>
          <w:p>
            <w:pPr>
              <w:pStyle w:val="Compact"/>
              <w:jc w:val="left"/>
            </w:pPr>
            <w:r>
              <w:t xml:space="preserve">Ketosis</w:t>
            </w:r>
          </w:p>
        </w:tc>
        <w:tc>
          <w:tcPr/>
          <w:p>
            <w:pPr>
              <w:pStyle w:val="Compact"/>
              <w:jc w:val="left"/>
            </w:pPr>
            <w:r>
              <w:t xml:space="preserve">Primary Application</w:t>
            </w:r>
          </w:p>
        </w:tc>
        <w:tc>
          <w:tcPr/>
          <w:p>
            <w:pPr>
              <w:pStyle w:val="Compact"/>
              <w:jc w:val="left"/>
            </w:pPr>
            <w:r>
              <w:t xml:space="preserve">Sustainability</w:t>
            </w:r>
          </w:p>
        </w:tc>
      </w:tr>
      <w:tr>
        <w:tc>
          <w:tcPr/>
          <w:p>
            <w:pPr>
              <w:pStyle w:val="Compact"/>
              <w:jc w:val="left"/>
            </w:pPr>
            <w:r>
              <w:rPr>
                <w:b/>
                <w:bCs/>
              </w:rPr>
              <w:t xml:space="preserve">Ketogenic diet</w:t>
            </w:r>
          </w:p>
        </w:tc>
        <w:tc>
          <w:tcPr/>
          <w:p>
            <w:pPr>
              <w:pStyle w:val="Compact"/>
              <w:jc w:val="left"/>
            </w:pPr>
            <w:r>
              <w:t xml:space="preserve">&lt;20–50 g/day (typically &lt;10% calories)</w:t>
            </w:r>
          </w:p>
        </w:tc>
        <w:tc>
          <w:tcPr/>
          <w:p>
            <w:pPr>
              <w:pStyle w:val="Compact"/>
              <w:jc w:val="left"/>
            </w:pPr>
            <w:r>
              <w:t xml:space="preserve">Yes, sustained</w:t>
            </w:r>
          </w:p>
        </w:tc>
        <w:tc>
          <w:tcPr/>
          <w:p>
            <w:pPr>
              <w:pStyle w:val="Compact"/>
              <w:jc w:val="left"/>
            </w:pPr>
            <w:r>
              <w:t xml:space="preserve">Epilepsy (especially pediatric); some neurological conditions; short-term weight loss</w:t>
            </w:r>
          </w:p>
        </w:tc>
        <w:tc>
          <w:tcPr/>
          <w:p>
            <w:pPr>
              <w:pStyle w:val="Compact"/>
              <w:jc w:val="left"/>
            </w:pPr>
            <w:r>
              <w:t xml:space="preserve">Very challenging long-term</w:t>
            </w:r>
          </w:p>
        </w:tc>
      </w:tr>
      <w:tr>
        <w:tc>
          <w:tcPr/>
          <w:p>
            <w:pPr>
              <w:pStyle w:val="Compact"/>
              <w:jc w:val="left"/>
            </w:pPr>
            <w:r>
              <w:rPr>
                <w:b/>
                <w:bCs/>
              </w:rPr>
              <w:t xml:space="preserve">Atkins induction</w:t>
            </w:r>
          </w:p>
        </w:tc>
        <w:tc>
          <w:tcPr/>
          <w:p>
            <w:pPr>
              <w:pStyle w:val="Compact"/>
              <w:jc w:val="left"/>
            </w:pPr>
            <w:r>
              <w:t xml:space="preserve">&lt;20 g/day initially, gradual increase</w:t>
            </w:r>
          </w:p>
        </w:tc>
        <w:tc>
          <w:tcPr/>
          <w:p>
            <w:pPr>
              <w:pStyle w:val="Compact"/>
              <w:jc w:val="left"/>
            </w:pPr>
            <w:r>
              <w:t xml:space="preserve">Yes, initially</w:t>
            </w:r>
          </w:p>
        </w:tc>
        <w:tc>
          <w:tcPr/>
          <w:p>
            <w:pPr>
              <w:pStyle w:val="Compact"/>
              <w:jc w:val="left"/>
            </w:pPr>
            <w:r>
              <w:t xml:space="preserve">Weight loss; metabolic syndrome</w:t>
            </w:r>
          </w:p>
        </w:tc>
        <w:tc>
          <w:tcPr/>
          <w:p>
            <w:pPr>
              <w:pStyle w:val="Compact"/>
              <w:jc w:val="left"/>
            </w:pPr>
            <w:r>
              <w:t xml:space="preserve">Moderate; transitions to less restrictive</w:t>
            </w:r>
          </w:p>
        </w:tc>
      </w:tr>
      <w:tr>
        <w:tc>
          <w:tcPr/>
          <w:p>
            <w:pPr>
              <w:pStyle w:val="Compact"/>
              <w:jc w:val="left"/>
            </w:pPr>
            <w:r>
              <w:rPr>
                <w:b/>
                <w:bCs/>
              </w:rPr>
              <w:t xml:space="preserve">Moderate low-carb</w:t>
            </w:r>
          </w:p>
        </w:tc>
        <w:tc>
          <w:tcPr/>
          <w:p>
            <w:pPr>
              <w:pStyle w:val="Compact"/>
              <w:jc w:val="left"/>
            </w:pPr>
            <w:r>
              <w:t xml:space="preserve">50–130 g/day (10–26% calories)</w:t>
            </w:r>
          </w:p>
        </w:tc>
        <w:tc>
          <w:tcPr/>
          <w:p>
            <w:pPr>
              <w:pStyle w:val="Compact"/>
              <w:jc w:val="left"/>
            </w:pPr>
            <w:r>
              <w:t xml:space="preserve">Transient or mild</w:t>
            </w:r>
          </w:p>
        </w:tc>
        <w:tc>
          <w:tcPr/>
          <w:p>
            <w:pPr>
              <w:pStyle w:val="Compact"/>
              <w:jc w:val="left"/>
            </w:pPr>
            <w:r>
              <w:t xml:space="preserve">Weight management; glycemic control in diabetes</w:t>
            </w:r>
          </w:p>
        </w:tc>
        <w:tc>
          <w:tcPr/>
          <w:p>
            <w:pPr>
              <w:pStyle w:val="Compact"/>
              <w:jc w:val="left"/>
            </w:pPr>
            <w:r>
              <w:t xml:space="preserve">Moderate; more flexible food choices</w:t>
            </w:r>
          </w:p>
        </w:tc>
      </w:tr>
      <w:tr>
        <w:tc>
          <w:tcPr/>
          <w:p>
            <w:pPr>
              <w:pStyle w:val="Compact"/>
              <w:jc w:val="left"/>
            </w:pPr>
            <w:r>
              <w:rPr>
                <w:b/>
                <w:bCs/>
              </w:rPr>
              <w:t xml:space="preserve">Very low-carb</w:t>
            </w:r>
          </w:p>
        </w:tc>
        <w:tc>
          <w:tcPr/>
          <w:p>
            <w:pPr>
              <w:pStyle w:val="Compact"/>
              <w:jc w:val="left"/>
            </w:pPr>
            <w:r>
              <w:t xml:space="preserve">&lt;50 g/day</w:t>
            </w:r>
          </w:p>
        </w:tc>
        <w:tc>
          <w:tcPr/>
          <w:p>
            <w:pPr>
              <w:pStyle w:val="Compact"/>
              <w:jc w:val="left"/>
            </w:pPr>
            <w:r>
              <w:t xml:space="preserve">Yes</w:t>
            </w:r>
          </w:p>
        </w:tc>
        <w:tc>
          <w:tcPr/>
          <w:p>
            <w:pPr>
              <w:pStyle w:val="Compact"/>
              <w:jc w:val="left"/>
            </w:pPr>
            <w:r>
              <w:t xml:space="preserve">Rapid weight loss; therapeutic ketosis</w:t>
            </w:r>
          </w:p>
        </w:tc>
        <w:tc>
          <w:tcPr/>
          <w:p>
            <w:pPr>
              <w:pStyle w:val="Compact"/>
              <w:jc w:val="left"/>
            </w:pPr>
            <w:r>
              <w:t xml:space="preserve">Difficult; requires significant adaptation</w:t>
            </w:r>
          </w:p>
        </w:tc>
      </w:tr>
    </w:tbl>
    <w:p>
      <w:pPr>
        <w:pStyle w:val="a0"/>
      </w:pPr>
      <w:r>
        <w:t xml:space="preserve">The</w:t>
      </w:r>
      <w:r>
        <w:t xml:space="preserve"> </w:t>
      </w:r>
      <w:r>
        <w:rPr>
          <w:b/>
          <w:bCs/>
        </w:rPr>
        <w:t xml:space="preserve">ketogenic diet</w:t>
      </w:r>
      <w:r>
        <w:t xml:space="preserve">, originally developed for</w:t>
      </w:r>
      <w:r>
        <w:t xml:space="preserve"> </w:t>
      </w:r>
      <w:r>
        <w:rPr>
          <w:b/>
          <w:bCs/>
        </w:rPr>
        <w:t xml:space="preserve">pediatric epilepsy management in the 1920s</w:t>
      </w:r>
      <w:r>
        <w:t xml:space="preserve">, induces</w:t>
      </w:r>
      <w:r>
        <w:t xml:space="preserve"> </w:t>
      </w:r>
      <w:r>
        <w:rPr>
          <w:b/>
          <w:bCs/>
        </w:rPr>
        <w:t xml:space="preserve">hepatic ketone body production (beta-hydroxybutyrate, acetoacetate, acetone)</w:t>
      </w:r>
      <w:r>
        <w:t xml:space="preserve"> </w:t>
      </w:r>
      <w:r>
        <w:t xml:space="preserve">as alternative brain fuel when glucose availability is severely restricted. This metabolic state requires</w:t>
      </w:r>
      <w:r>
        <w:t xml:space="preserve"> </w:t>
      </w:r>
      <w:r>
        <w:rPr>
          <w:b/>
          <w:bCs/>
        </w:rPr>
        <w:t xml:space="preserve">2–4 weeks for full adaptation</w:t>
      </w:r>
      <w:r>
        <w:t xml:space="preserve">, during which fatigue, headache, and exercise impairment are common (</w:t>
      </w:r>
      <w:r>
        <w:t xml:space="preserve">“</w:t>
      </w:r>
      <w:r>
        <w:t xml:space="preserve">keto flu</w:t>
      </w:r>
      <w:r>
        <w:t xml:space="preserve">”</w:t>
      </w:r>
      <w:r>
        <w:t xml:space="preserve">).</w:t>
      </w:r>
    </w:p>
    <w:bookmarkEnd w:id="108"/>
    <w:bookmarkStart w:id="109" w:name="X03c586ee5dca501cb233108c8f250cebc27bdb2"/>
    <w:p>
      <w:pPr>
        <w:pStyle w:val="4"/>
      </w:pPr>
      <w:r>
        <w:t xml:space="preserve">4.3.2 Short-Term Efficacy: Superior Weight Loss at 3–8 Months</w:t>
      </w:r>
    </w:p>
    <w:p>
      <w:pPr>
        <w:pStyle w:val="FirstParagraph"/>
      </w:pPr>
      <w:r>
        <w:rPr>
          <w:b/>
          <w:bCs/>
        </w:rPr>
        <w:t xml:space="preserve">Meta-analyses consistently demonstrate superior short-term weight loss with low-carbohydrate compared to low-fat diets at 3–6 months</w:t>
      </w:r>
      <w:r>
        <w:t xml:space="preserve">, with differences of</w:t>
      </w:r>
      <w:r>
        <w:t xml:space="preserve"> </w:t>
      </w:r>
      <w:r>
        <w:rPr>
          <w:b/>
          <w:bCs/>
        </w:rPr>
        <w:t xml:space="preserve">1–3 kg typically observed</w:t>
      </w:r>
      <w:r>
        <w:t xml:space="preserve">. This advantage is</w:t>
      </w:r>
      <w:r>
        <w:t xml:space="preserve"> </w:t>
      </w:r>
      <w:r>
        <w:rPr>
          <w:b/>
          <w:bCs/>
        </w:rPr>
        <w:t xml:space="preserve">attributed to several mechanisms</w:t>
      </w:r>
      <w:r>
        <w:t xml:space="preserve">: greater initial water loss with glycogen depletion (1 g glycogen binds 3–4 g water); appetite suppression via ketone-mediated effects on hypothalamic feeding centers; increased satiety from higher protein and fat intake; and reduced dietary variety limiting passive overconsumption. However,</w:t>
      </w:r>
      <w:r>
        <w:t xml:space="preserve"> </w:t>
      </w:r>
      <w:r>
        <w:rPr>
          <w:b/>
          <w:bCs/>
        </w:rPr>
        <w:t xml:space="preserve">this early advantage diminishes over time</w:t>
      </w:r>
      <w:r>
        <w:t xml:space="preserve">, with weight loss convergence typically observed by 12 months.</w:t>
      </w:r>
    </w:p>
    <w:bookmarkEnd w:id="109"/>
    <w:bookmarkStart w:id="110" w:name="X578105f8b1459523d629c4d6249ff9ec2407041"/>
    <w:p>
      <w:pPr>
        <w:pStyle w:val="4"/>
      </w:pPr>
      <w:r>
        <w:t xml:space="preserve">4.3.3 Long-Term Outcomes: Weight Loss Equivalence with Other Diets Beyond 12 Months</w:t>
      </w:r>
    </w:p>
    <w:p>
      <w:pPr>
        <w:pStyle w:val="FirstParagraph"/>
      </w:pPr>
      <w:r>
        <w:rPr>
          <w:b/>
          <w:bCs/>
        </w:rPr>
        <w:t xml:space="preserve">Beyond 12 months, low-carbohydrate and low-fat diets demonstrate equivalent weight loss</w:t>
      </w:r>
      <w:r>
        <w:t xml:space="preserve"> </w:t>
      </w:r>
      <w:r>
        <w:t xml:space="preserve">in most head-to-head trials when adherence is comparable. The</w:t>
      </w:r>
      <w:r>
        <w:t xml:space="preserve"> </w:t>
      </w:r>
      <w:r>
        <w:rPr>
          <w:b/>
          <w:bCs/>
        </w:rPr>
        <w:t xml:space="preserve">DIETFITS trial</w:t>
      </w:r>
      <w:r>
        <w:t xml:space="preserve"> </w:t>
      </w:r>
      <w:r>
        <w:t xml:space="preserve">(2018), one of the largest and most rigorous, found</w:t>
      </w:r>
      <w:r>
        <w:t xml:space="preserve"> </w:t>
      </w:r>
      <w:r>
        <w:rPr>
          <w:b/>
          <w:bCs/>
        </w:rPr>
        <w:t xml:space="preserve">no significant difference in 12-month weight change between healthy low-fat and healthy low-carb diets</w:t>
      </w:r>
      <w:r>
        <w:t xml:space="preserve"> </w:t>
      </w:r>
      <w:r>
        <w:t xml:space="preserve">(both ~5 kg loss) in overweight adults, with no interaction by genotype or insulin secretion pattern. This equivalence suggests that</w:t>
      </w:r>
      <w:r>
        <w:t xml:space="preserve"> </w:t>
      </w:r>
      <w:r>
        <w:rPr>
          <w:b/>
          <w:bCs/>
        </w:rPr>
        <w:t xml:space="preserve">dietary adherence and overall quality matter more than macronutrient distribution for long-term weight management</w:t>
      </w:r>
      <w:r>
        <w:t xml:space="preserve">. The high attrition rates and declining adherence in both arms illustrate the</w:t>
      </w:r>
      <w:r>
        <w:t xml:space="preserve"> </w:t>
      </w:r>
      <w:r>
        <w:rPr>
          <w:b/>
          <w:bCs/>
        </w:rPr>
        <w:t xml:space="preserve">challenge of sustaining any restrictive dietary pattern long-term</w:t>
      </w:r>
      <w:r>
        <w:t xml:space="preserve">.</w:t>
      </w:r>
    </w:p>
    <w:bookmarkEnd w:id="110"/>
    <w:bookmarkStart w:id="111" w:name="Xce4dde27ae2145f0adf2d5eb25d708533aa7d06"/>
    <w:p>
      <w:pPr>
        <w:pStyle w:val="4"/>
      </w:pPr>
      <w:r>
        <w:t xml:space="preserve">4.3.4 Cardiometabolic Effects: Triglyceride Reduction, HDL Elevation</w:t>
      </w:r>
    </w:p>
    <w:p>
      <w:pPr>
        <w:pStyle w:val="FirstParagraph"/>
      </w:pPr>
      <w:r>
        <w:t xml:space="preserve">Low-carbohydrate diets produce</w:t>
      </w:r>
      <w:r>
        <w:t xml:space="preserve"> </w:t>
      </w:r>
      <w:r>
        <w:rPr>
          <w:b/>
          <w:bCs/>
        </w:rPr>
        <w:t xml:space="preserve">characteristic lipid profile changes</w:t>
      </w:r>
      <w:r>
        <w:t xml:space="preserve">:</w:t>
      </w:r>
      <w:r>
        <w:t xml:space="preserve"> </w:t>
      </w:r>
      <w:r>
        <w:rPr>
          <w:b/>
          <w:bCs/>
        </w:rPr>
        <w:t xml:space="preserve">marked reduction in fasting triglycerides</w:t>
      </w:r>
      <w:r>
        <w:t xml:space="preserve"> </w:t>
      </w:r>
      <w:r>
        <w:t xml:space="preserve">(particularly beneficial for hypertriglyceridemic individuals),</w:t>
      </w:r>
      <w:r>
        <w:t xml:space="preserve"> </w:t>
      </w:r>
      <w:r>
        <w:rPr>
          <w:b/>
          <w:bCs/>
        </w:rPr>
        <w:t xml:space="preserve">increase in HDL cholesterol</w:t>
      </w:r>
      <w:r>
        <w:t xml:space="preserve">, and</w:t>
      </w:r>
      <w:r>
        <w:t xml:space="preserve"> </w:t>
      </w:r>
      <w:r>
        <w:rPr>
          <w:b/>
          <w:bCs/>
        </w:rPr>
        <w:t xml:space="preserve">variable effects on LDL cholesterol</w:t>
      </w:r>
      <w:r>
        <w:t xml:space="preserve"> </w:t>
      </w:r>
      <w:r>
        <w:t xml:space="preserve">(may increase with high saturated fat intake).</w:t>
      </w:r>
      <w:r>
        <w:t xml:space="preserve"> </w:t>
      </w:r>
      <w:r>
        <w:rPr>
          <w:b/>
          <w:bCs/>
        </w:rPr>
        <w:t xml:space="preserve">Glycemic control improves substantially</w:t>
      </w:r>
      <w:r>
        <w:t xml:space="preserve">, with HbA1c reductions of 0.5–1.0% in type 2 diabetes and reduced medication requirements. However,</w:t>
      </w:r>
      <w:r>
        <w:t xml:space="preserve"> </w:t>
      </w:r>
      <w:r>
        <w:rPr>
          <w:b/>
          <w:bCs/>
        </w:rPr>
        <w:t xml:space="preserve">LDL particle size may shift toward larger, less atherogenic forms</w:t>
      </w:r>
      <w:r>
        <w:t xml:space="preserve">, complicating cardiovascular risk interpretation. The</w:t>
      </w:r>
      <w:r>
        <w:t xml:space="preserve"> </w:t>
      </w:r>
      <w:r>
        <w:rPr>
          <w:b/>
          <w:bCs/>
        </w:rPr>
        <w:t xml:space="preserve">quality of fat consumed on low-carbohydrate diets critically determines cardiovascular effects</w:t>
      </w:r>
      <w:r>
        <w:t xml:space="preserve">: patterns emphasizing unsaturated fats, fish, and vegetables demonstrate better profiles than those high in processed meats and saturated fats.</w:t>
      </w:r>
    </w:p>
    <w:bookmarkEnd w:id="111"/>
    <w:bookmarkStart w:id="112" w:name="X0ddef1c8fe47a7c575fef35fa5e33ea1f275c82"/>
    <w:p>
      <w:pPr>
        <w:pStyle w:val="4"/>
      </w:pPr>
      <w:r>
        <w:t xml:space="preserve">4.3.5 Safety Concerns: Renal Function, Bone Health, Arrhythmia Risk, Nutrient Deficiencies</w:t>
      </w:r>
    </w:p>
    <w:tbl>
      <w:tblPr>
        <w:tblStyle w:val="Table"/>
        <w:tblW w:type="pct" w:w="5000"/>
        <w:jc w:val="left"/>
        <w:tblLayout w:type="fixed"/>
        <w:tblLook w:firstRow="1" w:lastRow="0" w:firstColumn="0" w:lastColumn="0" w:noHBand="0" w:noVBand="0" w:val="0020"/>
      </w:tblPr>
      <w:tblGrid>
        <w:gridCol w:w="1092"/>
        <w:gridCol w:w="1775"/>
        <w:gridCol w:w="2048"/>
        <w:gridCol w:w="3004"/>
      </w:tblGrid>
      <w:tr>
        <w:trPr>
          <w:tblHeader w:val="on"/>
        </w:trPr>
        <w:tc>
          <w:tcPr/>
          <w:p>
            <w:pPr>
              <w:pStyle w:val="Compact"/>
              <w:jc w:val="left"/>
            </w:pPr>
            <w:r>
              <w:t xml:space="preserve">Concern</w:t>
            </w:r>
          </w:p>
        </w:tc>
        <w:tc>
          <w:tcPr/>
          <w:p>
            <w:pPr>
              <w:pStyle w:val="Compact"/>
              <w:jc w:val="left"/>
            </w:pPr>
            <w:r>
              <w:t xml:space="preserve">Evidence Base</w:t>
            </w:r>
          </w:p>
        </w:tc>
        <w:tc>
          <w:tcPr/>
          <w:p>
            <w:pPr>
              <w:pStyle w:val="Compact"/>
              <w:jc w:val="left"/>
            </w:pPr>
            <w:r>
              <w:t xml:space="preserve">Risk Population</w:t>
            </w:r>
          </w:p>
        </w:tc>
        <w:tc>
          <w:tcPr/>
          <w:p>
            <w:pPr>
              <w:pStyle w:val="Compact"/>
              <w:jc w:val="left"/>
            </w:pPr>
            <w:r>
              <w:t xml:space="preserve">Mitigation Strategies</w:t>
            </w:r>
          </w:p>
        </w:tc>
      </w:tr>
      <w:tr>
        <w:tc>
          <w:tcPr/>
          <w:p>
            <w:pPr>
              <w:pStyle w:val="Compact"/>
              <w:jc w:val="left"/>
            </w:pPr>
            <w:r>
              <w:rPr>
                <w:b/>
                <w:bCs/>
              </w:rPr>
              <w:t xml:space="preserve">Renal function</w:t>
            </w:r>
          </w:p>
        </w:tc>
        <w:tc>
          <w:tcPr/>
          <w:p>
            <w:pPr>
              <w:pStyle w:val="Compact"/>
              <w:jc w:val="left"/>
            </w:pPr>
            <w:r>
              <w:t xml:space="preserve">No clear harm in healthy kidneys; may accelerate decline in existing CKD</w:t>
            </w:r>
          </w:p>
        </w:tc>
        <w:tc>
          <w:tcPr/>
          <w:p>
            <w:pPr>
              <w:pStyle w:val="Compact"/>
              <w:jc w:val="left"/>
            </w:pPr>
            <w:r>
              <w:t xml:space="preserve">Pre-existing chronic kidney disease</w:t>
            </w:r>
          </w:p>
        </w:tc>
        <w:tc>
          <w:tcPr/>
          <w:p>
            <w:pPr>
              <w:pStyle w:val="Compact"/>
              <w:jc w:val="left"/>
            </w:pPr>
            <w:r>
              <w:t xml:space="preserve">Monitor renal function; moderate protein if indicated; ensure hydration</w:t>
            </w:r>
          </w:p>
        </w:tc>
      </w:tr>
      <w:tr>
        <w:tc>
          <w:tcPr/>
          <w:p>
            <w:pPr>
              <w:pStyle w:val="Compact"/>
              <w:jc w:val="left"/>
            </w:pPr>
            <w:r>
              <w:rPr>
                <w:b/>
                <w:bCs/>
              </w:rPr>
              <w:t xml:space="preserve">Bone health</w:t>
            </w:r>
          </w:p>
        </w:tc>
        <w:tc>
          <w:tcPr/>
          <w:p>
            <w:pPr>
              <w:pStyle w:val="Compact"/>
              <w:jc w:val="left"/>
            </w:pPr>
            <w:r>
              <w:t xml:space="preserve">Possible increased calcium excretion; long-term fracture data limited</w:t>
            </w:r>
          </w:p>
        </w:tc>
        <w:tc>
          <w:tcPr/>
          <w:p>
            <w:pPr>
              <w:pStyle w:val="Compact"/>
              <w:jc w:val="left"/>
            </w:pPr>
            <w:r>
              <w:t xml:space="preserve">Osteoporosis risk; postmenopausal women</w:t>
            </w:r>
          </w:p>
        </w:tc>
        <w:tc>
          <w:tcPr/>
          <w:p>
            <w:pPr>
              <w:pStyle w:val="Compact"/>
              <w:jc w:val="left"/>
            </w:pPr>
            <w:r>
              <w:t xml:space="preserve">Ensure adequate calcium and vitamin D; alkaline diet emphasis; weight-bearing exercise</w:t>
            </w:r>
          </w:p>
        </w:tc>
      </w:tr>
      <w:tr>
        <w:tc>
          <w:tcPr/>
          <w:p>
            <w:pPr>
              <w:pStyle w:val="Compact"/>
              <w:jc w:val="left"/>
            </w:pPr>
            <w:r>
              <w:rPr>
                <w:b/>
                <w:bCs/>
              </w:rPr>
              <w:t xml:space="preserve">Cardiac arrhythmia</w:t>
            </w:r>
          </w:p>
        </w:tc>
        <w:tc>
          <w:tcPr/>
          <w:p>
            <w:pPr>
              <w:pStyle w:val="Compact"/>
              <w:jc w:val="left"/>
            </w:pPr>
            <w:r>
              <w:t xml:space="preserve">Case reports with very low-carb; possible magnesium/potassium depletion</w:t>
            </w:r>
          </w:p>
        </w:tc>
        <w:tc>
          <w:tcPr/>
          <w:p>
            <w:pPr>
              <w:pStyle w:val="Compact"/>
              <w:jc w:val="left"/>
            </w:pPr>
            <w:r>
              <w:t xml:space="preserve">Those with cardiac history; diuretic users</w:t>
            </w:r>
          </w:p>
        </w:tc>
        <w:tc>
          <w:tcPr/>
          <w:p>
            <w:pPr>
              <w:pStyle w:val="Compact"/>
              <w:jc w:val="left"/>
            </w:pPr>
            <w:r>
              <w:t xml:space="preserve">Supplement electrolytes; monitor magnesium, potassium; medical supervision</w:t>
            </w:r>
          </w:p>
        </w:tc>
      </w:tr>
      <w:tr>
        <w:tc>
          <w:tcPr/>
          <w:p>
            <w:pPr>
              <w:pStyle w:val="Compact"/>
              <w:jc w:val="left"/>
            </w:pPr>
            <w:r>
              <w:rPr>
                <w:b/>
                <w:bCs/>
              </w:rPr>
              <w:t xml:space="preserve">Nutrient deficiencies</w:t>
            </w:r>
          </w:p>
        </w:tc>
        <w:tc>
          <w:tcPr/>
          <w:p>
            <w:pPr>
              <w:pStyle w:val="Compact"/>
              <w:jc w:val="left"/>
            </w:pPr>
            <w:r>
              <w:t xml:space="preserve">Fiber, thiamine, folate, vitamin C, potassium often low</w:t>
            </w:r>
          </w:p>
        </w:tc>
        <w:tc>
          <w:tcPr/>
          <w:p>
            <w:pPr>
              <w:pStyle w:val="Compact"/>
              <w:jc w:val="left"/>
            </w:pPr>
            <w:r>
              <w:t xml:space="preserve">All restrictive variants; limited food variety</w:t>
            </w:r>
          </w:p>
        </w:tc>
        <w:tc>
          <w:tcPr/>
          <w:p>
            <w:pPr>
              <w:pStyle w:val="Compact"/>
              <w:jc w:val="left"/>
            </w:pPr>
            <w:r>
              <w:t xml:space="preserve">Supplement strategically; emphasize non-starchy vegetables; periodic nutritional assessment</w:t>
            </w:r>
          </w:p>
        </w:tc>
      </w:tr>
      <w:tr>
        <w:tc>
          <w:tcPr/>
          <w:p>
            <w:pPr>
              <w:pStyle w:val="Compact"/>
              <w:jc w:val="left"/>
            </w:pPr>
            <w:r>
              <w:rPr>
                <w:b/>
                <w:bCs/>
              </w:rPr>
              <w:t xml:space="preserve">Gut microbiome</w:t>
            </w:r>
          </w:p>
        </w:tc>
        <w:tc>
          <w:tcPr/>
          <w:p>
            <w:pPr>
              <w:pStyle w:val="Compact"/>
              <w:jc w:val="left"/>
            </w:pPr>
            <w:r>
              <w:t xml:space="preserve">Reduced fiber and prebiotic intake may alter microbiome diversity</w:t>
            </w:r>
          </w:p>
        </w:tc>
        <w:tc>
          <w:tcPr/>
          <w:p>
            <w:pPr>
              <w:pStyle w:val="Compact"/>
              <w:jc w:val="left"/>
            </w:pPr>
            <w:r>
              <w:t xml:space="preserve">All variants; particularly ketogenic</w:t>
            </w:r>
          </w:p>
        </w:tc>
        <w:tc>
          <w:tcPr/>
          <w:p>
            <w:pPr>
              <w:pStyle w:val="Compact"/>
              <w:jc w:val="left"/>
            </w:pPr>
            <w:r>
              <w:t xml:space="preserve">Include fermented foods; consider prebiotic supplementation if fiber intake very low</w:t>
            </w:r>
          </w:p>
        </w:tc>
      </w:tr>
    </w:tbl>
    <w:bookmarkEnd w:id="112"/>
    <w:bookmarkStart w:id="113" w:name="Xb2b708403dfc6ab41c9c4eb0ea7133f6233d079"/>
    <w:p>
      <w:pPr>
        <w:pStyle w:val="4"/>
      </w:pPr>
      <w:r>
        <w:t xml:space="preserve">4.3.6 Adherence Challenges and Cultural Dietary Compatibility</w:t>
      </w:r>
    </w:p>
    <w:p>
      <w:pPr>
        <w:pStyle w:val="FirstParagraph"/>
      </w:pPr>
      <w:r>
        <w:rPr>
          <w:b/>
          <w:bCs/>
        </w:rPr>
        <w:t xml:space="preserve">Long-term adherence to very low-carbohydrate diets remains challenging</w:t>
      </w:r>
      <w:r>
        <w:t xml:space="preserve"> </w:t>
      </w:r>
      <w:r>
        <w:t xml:space="preserve">due to:</w:t>
      </w:r>
      <w:r>
        <w:t xml:space="preserve"> </w:t>
      </w:r>
      <w:r>
        <w:rPr>
          <w:b/>
          <w:bCs/>
        </w:rPr>
        <w:t xml:space="preserve">social and cultural food environment</w:t>
      </w:r>
      <w:r>
        <w:t xml:space="preserve"> </w:t>
      </w:r>
      <w:r>
        <w:t xml:space="preserve">(carbohydrate-rich foods are central to most cuisines and social occasions);</w:t>
      </w:r>
      <w:r>
        <w:t xml:space="preserve"> </w:t>
      </w:r>
      <w:r>
        <w:rPr>
          <w:b/>
          <w:bCs/>
        </w:rPr>
        <w:t xml:space="preserve">limited food variety</w:t>
      </w:r>
      <w:r>
        <w:t xml:space="preserve"> </w:t>
      </w:r>
      <w:r>
        <w:t xml:space="preserve">and potential monotony;</w:t>
      </w:r>
      <w:r>
        <w:t xml:space="preserve"> </w:t>
      </w:r>
      <w:r>
        <w:rPr>
          <w:b/>
          <w:bCs/>
        </w:rPr>
        <w:t xml:space="preserve">higher cost</w:t>
      </w:r>
      <w:r>
        <w:t xml:space="preserve"> </w:t>
      </w:r>
      <w:r>
        <w:t xml:space="preserve">of protein-rich foods;</w:t>
      </w:r>
      <w:r>
        <w:t xml:space="preserve"> </w:t>
      </w:r>
      <w:r>
        <w:rPr>
          <w:b/>
          <w:bCs/>
        </w:rPr>
        <w:t xml:space="preserve">athletic performance impairment</w:t>
      </w:r>
      <w:r>
        <w:t xml:space="preserve"> </w:t>
      </w:r>
      <w:r>
        <w:t xml:space="preserve">in high-intensity and endurance activities; and</w:t>
      </w:r>
      <w:r>
        <w:t xml:space="preserve"> </w:t>
      </w:r>
      <w:r>
        <w:rPr>
          <w:b/>
          <w:bCs/>
        </w:rPr>
        <w:t xml:space="preserve">psychological restriction</w:t>
      </w:r>
      <w:r>
        <w:t xml:space="preserve"> </w:t>
      </w:r>
      <w:r>
        <w:t xml:space="preserve">triggering disordered eating in susceptible individuals.</w:t>
      </w:r>
      <w:r>
        <w:t xml:space="preserve"> </w:t>
      </w:r>
      <w:r>
        <w:rPr>
          <w:b/>
          <w:bCs/>
        </w:rPr>
        <w:t xml:space="preserve">Moderate carbohydrate restriction (100–130 g/day)</w:t>
      </w:r>
      <w:r>
        <w:t xml:space="preserve"> </w:t>
      </w:r>
      <w:r>
        <w:t xml:space="preserve">may offer better sustainability while retaining metabolic benefits, and</w:t>
      </w:r>
      <w:r>
        <w:t xml:space="preserve"> </w:t>
      </w:r>
      <w:r>
        <w:rPr>
          <w:b/>
          <w:bCs/>
        </w:rPr>
        <w:t xml:space="preserve">cyclic or targeted approaches</w:t>
      </w:r>
      <w:r>
        <w:t xml:space="preserve"> </w:t>
      </w:r>
      <w:r>
        <w:t xml:space="preserve">(timing carbohydrate around exercise) may improve adherence for active individuals. Cultural adaptation—incorporating low-carb versions of traditional foods rather than complete dietary overhaul—may improve acceptance and longevity.</w:t>
      </w:r>
    </w:p>
    <w:bookmarkEnd w:id="113"/>
    <w:bookmarkEnd w:id="114"/>
    <w:bookmarkStart w:id="118" w:name="dash-and-heart-healthy-patterns"/>
    <w:p>
      <w:pPr>
        <w:pStyle w:val="3"/>
      </w:pPr>
      <w:r>
        <w:t xml:space="preserve">4.4 DASH and Heart-Healthy Patterns</w:t>
      </w:r>
    </w:p>
    <w:bookmarkStart w:id="115" w:name="Xffd38d52541d5468db0155b5be9dfc0f77da367"/>
    <w:p>
      <w:pPr>
        <w:pStyle w:val="4"/>
      </w:pPr>
      <w:r>
        <w:t xml:space="preserve">4.4.1 Sodium Restriction and Blood Pressure Management</w:t>
      </w:r>
    </w:p>
    <w:p>
      <w:pPr>
        <w:pStyle w:val="FirstParagraph"/>
      </w:pPr>
      <w:r>
        <w:t xml:space="preserve">The</w:t>
      </w:r>
      <w:r>
        <w:t xml:space="preserve"> </w:t>
      </w:r>
      <w:r>
        <w:rPr>
          <w:b/>
          <w:bCs/>
        </w:rPr>
        <w:t xml:space="preserve">Dietary Approaches to Stop Hypertension (DASH) diet</w:t>
      </w:r>
      <w:r>
        <w:t xml:space="preserve"> </w:t>
      </w:r>
      <w:r>
        <w:t xml:space="preserve">was specifically developed and tested for blood pressure reduction, emphasizing</w:t>
      </w:r>
      <w:r>
        <w:t xml:space="preserve"> </w:t>
      </w:r>
      <w:r>
        <w:rPr>
          <w:b/>
          <w:bCs/>
        </w:rPr>
        <w:t xml:space="preserve">fruits, vegetables, whole grains, low-fat dairy, lean proteins, nuts, and legumes while restricting sodium, sweets, and red meat</w:t>
      </w:r>
      <w:r>
        <w:t xml:space="preserve">. The original DASH trial demonstrated</w:t>
      </w:r>
      <w:r>
        <w:t xml:space="preserve"> </w:t>
      </w:r>
      <w:r>
        <w:rPr>
          <w:b/>
          <w:bCs/>
        </w:rPr>
        <w:t xml:space="preserve">systolic blood pressure reductions of 8–14 mmHg</w:t>
      </w:r>
      <w:r>
        <w:t xml:space="preserve">—comparable to single-drug antihypertensive therapy—when sodium was restricted to 1,500 mg/day alongside the DASH food pattern. The</w:t>
      </w:r>
      <w:r>
        <w:t xml:space="preserve"> </w:t>
      </w:r>
      <w:r>
        <w:rPr>
          <w:b/>
          <w:bCs/>
        </w:rPr>
        <w:t xml:space="preserve">blood pressure lowering effect is dose-responsive to sodium restriction</w:t>
      </w:r>
      <w:r>
        <w:t xml:space="preserve">, with greatest benefits in those with hypertension, older adults, and African Americans who demonstrate greater salt sensitivity.</w:t>
      </w:r>
    </w:p>
    <w:bookmarkEnd w:id="115"/>
    <w:bookmarkStart w:id="116" w:name="X0a481fa118988c9560d7598e5599848bbfb5b16"/>
    <w:p>
      <w:pPr>
        <w:pStyle w:val="4"/>
      </w:pPr>
      <w:r>
        <w:t xml:space="preserve">4.4.2 Emphasis on Potassium, Magnesium, and Calcium</w:t>
      </w:r>
    </w:p>
    <w:p>
      <w:pPr>
        <w:pStyle w:val="FirstParagraph"/>
      </w:pPr>
      <w:r>
        <w:t xml:space="preserve">The DASH diet achieves blood pressure benefits through</w:t>
      </w:r>
      <w:r>
        <w:t xml:space="preserve"> </w:t>
      </w:r>
      <w:r>
        <w:rPr>
          <w:b/>
          <w:bCs/>
        </w:rPr>
        <w:t xml:space="preserve">multiple mineral mechanisms</w:t>
      </w:r>
      <w:r>
        <w:t xml:space="preserve">:</w:t>
      </w:r>
    </w:p>
    <w:tbl>
      <w:tblPr>
        <w:tblStyle w:val="Table"/>
        <w:tblW w:type="pct" w:w="5000"/>
        <w:jc w:val="left"/>
        <w:tblLayout w:type="fixed"/>
        <w:tblLook w:firstRow="1" w:lastRow="0" w:firstColumn="0" w:lastColumn="0" w:noHBand="0" w:noVBand="0" w:val="0020"/>
      </w:tblPr>
      <w:tblGrid>
        <w:gridCol w:w="615"/>
        <w:gridCol w:w="1153"/>
        <w:gridCol w:w="2691"/>
        <w:gridCol w:w="3460"/>
      </w:tblGrid>
      <w:tr>
        <w:trPr>
          <w:tblHeader w:val="on"/>
        </w:trPr>
        <w:tc>
          <w:tcPr/>
          <w:p>
            <w:pPr>
              <w:pStyle w:val="Compact"/>
              <w:jc w:val="left"/>
            </w:pPr>
            <w:r>
              <w:t xml:space="preserve">Mineral</w:t>
            </w:r>
          </w:p>
        </w:tc>
        <w:tc>
          <w:tcPr/>
          <w:p>
            <w:pPr>
              <w:pStyle w:val="Compact"/>
              <w:jc w:val="left"/>
            </w:pPr>
            <w:r>
              <w:t xml:space="preserve">DASH Diet Source</w:t>
            </w:r>
          </w:p>
        </w:tc>
        <w:tc>
          <w:tcPr/>
          <w:p>
            <w:pPr>
              <w:pStyle w:val="Compact"/>
              <w:jc w:val="left"/>
            </w:pPr>
            <w:r>
              <w:t xml:space="preserve">Mechanism of Blood Pressure Effect</w:t>
            </w:r>
          </w:p>
        </w:tc>
        <w:tc>
          <w:tcPr/>
          <w:p>
            <w:pPr>
              <w:pStyle w:val="Compact"/>
              <w:jc w:val="left"/>
            </w:pPr>
            <w:r>
              <w:t xml:space="preserve">Typical DASH Intake vs. Standard American Diet</w:t>
            </w:r>
          </w:p>
        </w:tc>
      </w:tr>
      <w:tr>
        <w:tc>
          <w:tcPr/>
          <w:p>
            <w:pPr>
              <w:pStyle w:val="Compact"/>
              <w:jc w:val="left"/>
            </w:pPr>
            <w:r>
              <w:rPr>
                <w:b/>
                <w:bCs/>
              </w:rPr>
              <w:t xml:space="preserve">Potassium</w:t>
            </w:r>
          </w:p>
        </w:tc>
        <w:tc>
          <w:tcPr/>
          <w:p>
            <w:pPr>
              <w:pStyle w:val="Compact"/>
              <w:jc w:val="left"/>
            </w:pPr>
            <w:r>
              <w:t xml:space="preserve">Fruits, vegetables, legumes, dairy</w:t>
            </w:r>
          </w:p>
        </w:tc>
        <w:tc>
          <w:tcPr/>
          <w:p>
            <w:pPr>
              <w:pStyle w:val="Compact"/>
              <w:jc w:val="left"/>
            </w:pPr>
            <w:r>
              <w:t xml:space="preserve">Natriuresis; vascular smooth muscle relaxation; antagonizes sodium effects</w:t>
            </w:r>
          </w:p>
        </w:tc>
        <w:tc>
          <w:tcPr/>
          <w:p>
            <w:pPr>
              <w:pStyle w:val="Compact"/>
              <w:jc w:val="left"/>
            </w:pPr>
            <w:r>
              <w:t xml:space="preserve">4,700 mg vs. 2,500 mg</w:t>
            </w:r>
          </w:p>
        </w:tc>
      </w:tr>
      <w:tr>
        <w:tc>
          <w:tcPr/>
          <w:p>
            <w:pPr>
              <w:pStyle w:val="Compact"/>
              <w:jc w:val="left"/>
            </w:pPr>
            <w:r>
              <w:rPr>
                <w:b/>
                <w:bCs/>
              </w:rPr>
              <w:t xml:space="preserve">Magnesium</w:t>
            </w:r>
          </w:p>
        </w:tc>
        <w:tc>
          <w:tcPr/>
          <w:p>
            <w:pPr>
              <w:pStyle w:val="Compact"/>
              <w:jc w:val="left"/>
            </w:pPr>
            <w:r>
              <w:t xml:space="preserve">Whole grains, nuts, green leafy vegetables</w:t>
            </w:r>
          </w:p>
        </w:tc>
        <w:tc>
          <w:tcPr/>
          <w:p>
            <w:pPr>
              <w:pStyle w:val="Compact"/>
              <w:jc w:val="left"/>
            </w:pPr>
            <w:r>
              <w:t xml:space="preserve">Vasodilation; regulates vascular tone; insulin sensitivity</w:t>
            </w:r>
          </w:p>
        </w:tc>
        <w:tc>
          <w:tcPr/>
          <w:p>
            <w:pPr>
              <w:pStyle w:val="Compact"/>
              <w:jc w:val="left"/>
            </w:pPr>
            <w:r>
              <w:t xml:space="preserve">500 mg vs. 250 mg</w:t>
            </w:r>
          </w:p>
        </w:tc>
      </w:tr>
      <w:tr>
        <w:tc>
          <w:tcPr/>
          <w:p>
            <w:pPr>
              <w:pStyle w:val="Compact"/>
              <w:jc w:val="left"/>
            </w:pPr>
            <w:r>
              <w:rPr>
                <w:b/>
                <w:bCs/>
              </w:rPr>
              <w:t xml:space="preserve">Calcium</w:t>
            </w:r>
          </w:p>
        </w:tc>
        <w:tc>
          <w:tcPr/>
          <w:p>
            <w:pPr>
              <w:pStyle w:val="Compact"/>
              <w:jc w:val="left"/>
            </w:pPr>
            <w:r>
              <w:t xml:space="preserve">Low-fat dairy, fortified alternatives</w:t>
            </w:r>
          </w:p>
        </w:tc>
        <w:tc>
          <w:tcPr/>
          <w:p>
            <w:pPr>
              <w:pStyle w:val="Compact"/>
              <w:jc w:val="left"/>
            </w:pPr>
            <w:r>
              <w:t xml:space="preserve">Vascular smooth muscle contraction regulation; parathyroid hormone modulation</w:t>
            </w:r>
          </w:p>
        </w:tc>
        <w:tc>
          <w:tcPr/>
          <w:p>
            <w:pPr>
              <w:pStyle w:val="Compact"/>
              <w:jc w:val="left"/>
            </w:pPr>
            <w:r>
              <w:t xml:space="preserve">1,200 mg vs. 700 mg</w:t>
            </w:r>
          </w:p>
        </w:tc>
      </w:tr>
    </w:tbl>
    <w:p>
      <w:pPr>
        <w:pStyle w:val="a0"/>
      </w:pPr>
      <w:r>
        <w:t xml:space="preserve">The</w:t>
      </w:r>
      <w:r>
        <w:t xml:space="preserve"> </w:t>
      </w:r>
      <w:r>
        <w:rPr>
          <w:b/>
          <w:bCs/>
        </w:rPr>
        <w:t xml:space="preserve">high potassium content</w:t>
      </w:r>
      <w:r>
        <w:t xml:space="preserve"> </w:t>
      </w:r>
      <w:r>
        <w:t xml:space="preserve">(4,700 mg/day target) is particularly important, as the</w:t>
      </w:r>
      <w:r>
        <w:t xml:space="preserve"> </w:t>
      </w:r>
      <w:r>
        <w:rPr>
          <w:b/>
          <w:bCs/>
        </w:rPr>
        <w:t xml:space="preserve">sodium-to-potassium ratio emerges as a stronger predictor of cardiovascular outcomes than either mineral alone</w:t>
      </w:r>
      <w:r>
        <w:t xml:space="preserve">. Practical implementation requires</w:t>
      </w:r>
      <w:r>
        <w:t xml:space="preserve"> </w:t>
      </w:r>
      <w:r>
        <w:rPr>
          <w:b/>
          <w:bCs/>
        </w:rPr>
        <w:t xml:space="preserve">gradual dietary modification</w:t>
      </w:r>
      <w:r>
        <w:t xml:space="preserve"> </w:t>
      </w:r>
      <w:r>
        <w:t xml:space="preserve">rather than abrupt change, with emphasis on</w:t>
      </w:r>
      <w:r>
        <w:t xml:space="preserve"> </w:t>
      </w:r>
      <w:r>
        <w:rPr>
          <w:b/>
          <w:bCs/>
        </w:rPr>
        <w:t xml:space="preserve">food preparation techniques</w:t>
      </w:r>
      <w:r>
        <w:t xml:space="preserve"> </w:t>
      </w:r>
      <w:r>
        <w:t xml:space="preserve">(herbs, spices, citrus, vinegar) that maintain palatability without sodium reliance.</w:t>
      </w:r>
    </w:p>
    <w:bookmarkEnd w:id="116"/>
    <w:bookmarkStart w:id="117" w:name="X3fd837c1c78206112cb53970821f27b2eedfc35"/>
    <w:p>
      <w:pPr>
        <w:pStyle w:val="4"/>
      </w:pPr>
      <w:r>
        <w:t xml:space="preserve">4.4.3 Integration with Mediterranean Principles</w:t>
      </w:r>
    </w:p>
    <w:p>
      <w:pPr>
        <w:pStyle w:val="FirstParagraph"/>
      </w:pPr>
      <w:r>
        <w:t xml:space="preserve">The</w:t>
      </w:r>
      <w:r>
        <w:t xml:space="preserve"> </w:t>
      </w:r>
      <w:r>
        <w:rPr>
          <w:b/>
          <w:bCs/>
        </w:rPr>
        <w:t xml:space="preserve">DASH and Mediterranean diets share substantial overlap</w:t>
      </w:r>
      <w:r>
        <w:t xml:space="preserve">—both emphasize vegetables, fruits, whole grains, legumes, nuts, and limited red meat—while differing in specific emphases (DASH: sodium restriction, dairy emphasis; Mediterranean: olive oil, fish, wine).</w:t>
      </w:r>
      <w:r>
        <w:t xml:space="preserve"> </w:t>
      </w:r>
      <w:r>
        <w:rPr>
          <w:b/>
          <w:bCs/>
        </w:rPr>
        <w:t xml:space="preserve">Hybrid patterns combining elements of both</w:t>
      </w:r>
      <w:r>
        <w:t xml:space="preserve"> </w:t>
      </w:r>
      <w:r>
        <w:t xml:space="preserve">may optimize cardiovascular protection, with the</w:t>
      </w:r>
      <w:r>
        <w:t xml:space="preserve"> </w:t>
      </w:r>
      <w:r>
        <w:rPr>
          <w:b/>
          <w:bCs/>
        </w:rPr>
        <w:t xml:space="preserve">MIND diet</w:t>
      </w:r>
      <w:r>
        <w:t xml:space="preserve"> </w:t>
      </w:r>
      <w:r>
        <w:t xml:space="preserve">(Mediterranean-DASH Intervention for Neurodegenerative Delay) representing one such integration targeting cognitive outcomes. For individuals with both hypertension and cardiovascular risk,</w:t>
      </w:r>
      <w:r>
        <w:t xml:space="preserve"> </w:t>
      </w:r>
      <w:r>
        <w:rPr>
          <w:b/>
          <w:bCs/>
        </w:rPr>
        <w:t xml:space="preserve">combining DASH’s sodium rigor with Mediterranean’s fat quality and social-behavioral components</w:t>
      </w:r>
      <w:r>
        <w:t xml:space="preserve"> </w:t>
      </w:r>
      <w:r>
        <w:t xml:space="preserve">may offer synergistic benefits.</w:t>
      </w:r>
    </w:p>
    <w:bookmarkEnd w:id="117"/>
    <w:bookmarkEnd w:id="118"/>
    <w:bookmarkStart w:id="123" w:name="X97d6e9df272bd67a8cd0e530368da4183f40af5"/>
    <w:p>
      <w:pPr>
        <w:pStyle w:val="3"/>
      </w:pPr>
      <w:r>
        <w:t xml:space="preserve">4.5 Traditional and Ancestral Dietary Patterns</w:t>
      </w:r>
    </w:p>
    <w:bookmarkStart w:id="119" w:name="Xe8757a3a8d3fdf100f18e17cc944f9b6f0eb609"/>
    <w:p>
      <w:pPr>
        <w:pStyle w:val="4"/>
      </w:pPr>
      <w:r>
        <w:t xml:space="preserve">4.5.1 Paleolithic Hunter-Gatherer Diets: Plant-Dominant (80%) with Variable Animal Protein</w:t>
      </w:r>
    </w:p>
    <w:p>
      <w:pPr>
        <w:pStyle w:val="FirstParagraph"/>
      </w:pPr>
      <w:r>
        <w:rPr>
          <w:b/>
          <w:bCs/>
        </w:rPr>
        <w:t xml:space="preserve">Reconstructions of Paleolithic diets based on archaeological evidence, modern hunter-gatherer studies, and human physiology suggest plant-dominant patterns with substantial geographical variation</w:t>
      </w:r>
      <w:r>
        <w:t xml:space="preserve">:</w:t>
      </w:r>
    </w:p>
    <w:tbl>
      <w:tblPr>
        <w:tblStyle w:val="Table"/>
        <w:tblW w:type="pct" w:w="5000"/>
        <w:jc w:val="left"/>
        <w:tblLayout w:type="fixed"/>
        <w:tblLook w:firstRow="1" w:lastRow="0" w:firstColumn="0" w:lastColumn="0" w:noHBand="0" w:noVBand="0" w:val="0020"/>
      </w:tblPr>
      <w:tblGrid>
        <w:gridCol w:w="2193"/>
        <w:gridCol w:w="1827"/>
        <w:gridCol w:w="1584"/>
        <w:gridCol w:w="2315"/>
      </w:tblGrid>
      <w:tr>
        <w:trPr>
          <w:tblHeader w:val="on"/>
        </w:trPr>
        <w:tc>
          <w:tcPr/>
          <w:p>
            <w:pPr>
              <w:pStyle w:val="Compact"/>
              <w:jc w:val="left"/>
            </w:pPr>
            <w:r>
              <w:t xml:space="preserve">Dietary Component</w:t>
            </w:r>
          </w:p>
        </w:tc>
        <w:tc>
          <w:tcPr/>
          <w:p>
            <w:pPr>
              <w:pStyle w:val="Compact"/>
              <w:jc w:val="left"/>
            </w:pPr>
            <w:r>
              <w:t xml:space="preserve">Estimated Range</w:t>
            </w:r>
          </w:p>
        </w:tc>
        <w:tc>
          <w:tcPr/>
          <w:p>
            <w:pPr>
              <w:pStyle w:val="Compact"/>
              <w:jc w:val="left"/>
            </w:pPr>
            <w:r>
              <w:t xml:space="preserve">Key Sources</w:t>
            </w:r>
          </w:p>
        </w:tc>
        <w:tc>
          <w:tcPr/>
          <w:p>
            <w:pPr>
              <w:pStyle w:val="Compact"/>
              <w:jc w:val="left"/>
            </w:pPr>
            <w:r>
              <w:t xml:space="preserve">Modern Implications</w:t>
            </w:r>
          </w:p>
        </w:tc>
      </w:tr>
      <w:tr>
        <w:tc>
          <w:tcPr/>
          <w:p>
            <w:pPr>
              <w:pStyle w:val="Compact"/>
              <w:jc w:val="left"/>
            </w:pPr>
            <w:r>
              <w:rPr>
                <w:b/>
                <w:bCs/>
              </w:rPr>
              <w:t xml:space="preserve">Plant foods</w:t>
            </w:r>
          </w:p>
        </w:tc>
        <w:tc>
          <w:tcPr/>
          <w:p>
            <w:pPr>
              <w:pStyle w:val="Compact"/>
              <w:jc w:val="left"/>
            </w:pPr>
            <w:r>
              <w:t xml:space="preserve">35–80% of calories (higher in equatorial, lower in polar regions)</w:t>
            </w:r>
          </w:p>
        </w:tc>
        <w:tc>
          <w:tcPr/>
          <w:p>
            <w:pPr>
              <w:pStyle w:val="Compact"/>
              <w:jc w:val="left"/>
            </w:pPr>
            <w:r>
              <w:t xml:space="preserve">Tubers, fruits, nuts, seeds, vegetables, honey</w:t>
            </w:r>
          </w:p>
        </w:tc>
        <w:tc>
          <w:tcPr/>
          <w:p>
            <w:pPr>
              <w:pStyle w:val="Compact"/>
              <w:jc w:val="left"/>
            </w:pPr>
            <w:r>
              <w:t xml:space="preserve">Fiber intake far exceeded modern levels; diverse phytochemical exposure</w:t>
            </w:r>
          </w:p>
        </w:tc>
      </w:tr>
      <w:tr>
        <w:tc>
          <w:tcPr/>
          <w:p>
            <w:pPr>
              <w:pStyle w:val="Compact"/>
              <w:jc w:val="left"/>
            </w:pPr>
            <w:r>
              <w:rPr>
                <w:b/>
                <w:bCs/>
              </w:rPr>
              <w:t xml:space="preserve">Animal protein</w:t>
            </w:r>
          </w:p>
        </w:tc>
        <w:tc>
          <w:tcPr/>
          <w:p>
            <w:pPr>
              <w:pStyle w:val="Compact"/>
              <w:jc w:val="left"/>
            </w:pPr>
            <w:r>
              <w:t xml:space="preserve">20–65% of calories</w:t>
            </w:r>
          </w:p>
        </w:tc>
        <w:tc>
          <w:tcPr/>
          <w:p>
            <w:pPr>
              <w:pStyle w:val="Compact"/>
              <w:jc w:val="left"/>
            </w:pPr>
            <w:r>
              <w:t xml:space="preserve">Game, fish, shellfish, insects, eggs</w:t>
            </w:r>
          </w:p>
        </w:tc>
        <w:tc>
          <w:tcPr/>
          <w:p>
            <w:pPr>
              <w:pStyle w:val="Compact"/>
              <w:jc w:val="left"/>
            </w:pPr>
            <w:r>
              <w:t xml:space="preserve">Leaner than modern domesticated animals; higher omega-3 content</w:t>
            </w:r>
          </w:p>
        </w:tc>
      </w:tr>
      <w:tr>
        <w:tc>
          <w:tcPr/>
          <w:p>
            <w:pPr>
              <w:pStyle w:val="Compact"/>
              <w:jc w:val="left"/>
            </w:pPr>
            <w:r>
              <w:rPr>
                <w:b/>
                <w:bCs/>
              </w:rPr>
              <w:t xml:space="preserve">Fat</w:t>
            </w:r>
          </w:p>
        </w:tc>
        <w:tc>
          <w:tcPr/>
          <w:p>
            <w:pPr>
              <w:pStyle w:val="Compact"/>
              <w:jc w:val="left"/>
            </w:pPr>
            <w:r>
              <w:t xml:space="preserve">20–35% of calories</w:t>
            </w:r>
          </w:p>
        </w:tc>
        <w:tc>
          <w:tcPr/>
          <w:p>
            <w:pPr>
              <w:pStyle w:val="Compact"/>
              <w:jc w:val="left"/>
            </w:pPr>
            <w:r>
              <w:t xml:space="preserve">Wild game, nuts, seeds, fatty fish</w:t>
            </w:r>
          </w:p>
        </w:tc>
        <w:tc>
          <w:tcPr/>
          <w:p>
            <w:pPr>
              <w:pStyle w:val="Compact"/>
              <w:jc w:val="left"/>
            </w:pPr>
            <w:r>
              <w:t xml:space="preserve">Higher polyunsaturated fat ratio; no dairy fat</w:t>
            </w:r>
          </w:p>
        </w:tc>
      </w:tr>
      <w:tr>
        <w:tc>
          <w:tcPr/>
          <w:p>
            <w:pPr>
              <w:pStyle w:val="Compact"/>
              <w:jc w:val="left"/>
            </w:pPr>
            <w:r>
              <w:rPr>
                <w:b/>
                <w:bCs/>
              </w:rPr>
              <w:t xml:space="preserve">Carbohydrate</w:t>
            </w:r>
          </w:p>
        </w:tc>
        <w:tc>
          <w:tcPr/>
          <w:p>
            <w:pPr>
              <w:pStyle w:val="Compact"/>
              <w:jc w:val="left"/>
            </w:pPr>
            <w:r>
              <w:t xml:space="preserve">20–40% of calories (highly variable)</w:t>
            </w:r>
          </w:p>
        </w:tc>
        <w:tc>
          <w:tcPr/>
          <w:p>
            <w:pPr>
              <w:pStyle w:val="Compact"/>
              <w:jc w:val="left"/>
            </w:pPr>
            <w:r>
              <w:t xml:space="preserve">Tubers, fruits, honey</w:t>
            </w:r>
          </w:p>
        </w:tc>
        <w:tc>
          <w:tcPr/>
          <w:p>
            <w:pPr>
              <w:pStyle w:val="Compact"/>
              <w:jc w:val="left"/>
            </w:pPr>
            <w:r>
              <w:t xml:space="preserve">Lower glycemic index than modern refined grains; seasonal availability</w:t>
            </w:r>
          </w:p>
        </w:tc>
      </w:tr>
      <w:tr>
        <w:tc>
          <w:tcPr/>
          <w:p>
            <w:pPr>
              <w:pStyle w:val="Compact"/>
              <w:jc w:val="left"/>
            </w:pPr>
            <w:r>
              <w:rPr>
                <w:b/>
                <w:bCs/>
              </w:rPr>
              <w:t xml:space="preserve">Fiber</w:t>
            </w:r>
          </w:p>
        </w:tc>
        <w:tc>
          <w:tcPr/>
          <w:p>
            <w:pPr>
              <w:pStyle w:val="Compact"/>
              <w:jc w:val="left"/>
            </w:pPr>
            <w:r>
              <w:t xml:space="preserve">70–150 g/day</w:t>
            </w:r>
          </w:p>
        </w:tc>
        <w:tc>
          <w:tcPr/>
          <w:p>
            <w:pPr>
              <w:pStyle w:val="Compact"/>
              <w:jc w:val="left"/>
            </w:pPr>
            <w:r>
              <w:t xml:space="preserve">All plant foods</w:t>
            </w:r>
          </w:p>
        </w:tc>
        <w:tc>
          <w:tcPr/>
          <w:p>
            <w:pPr>
              <w:pStyle w:val="Compact"/>
              <w:jc w:val="left"/>
            </w:pPr>
            <w:r>
              <w:t xml:space="preserve">3–5× modern intake; diverse fermentable substrates for gut microbiome</w:t>
            </w:r>
          </w:p>
        </w:tc>
      </w:tr>
    </w:tbl>
    <w:p>
      <w:pPr>
        <w:pStyle w:val="a0"/>
      </w:pPr>
      <w:r>
        <w:t xml:space="preserve">Contrary to popular</w:t>
      </w:r>
      <w:r>
        <w:t xml:space="preserve"> </w:t>
      </w:r>
      <w:r>
        <w:t xml:space="preserve">“</w:t>
      </w:r>
      <w:r>
        <w:t xml:space="preserve">caveman diet</w:t>
      </w:r>
      <w:r>
        <w:t xml:space="preserve">”</w:t>
      </w:r>
      <w:r>
        <w:t xml:space="preserve"> </w:t>
      </w:r>
      <w:r>
        <w:t xml:space="preserve">portrayals,</w:t>
      </w:r>
      <w:r>
        <w:t xml:space="preserve"> </w:t>
      </w:r>
      <w:r>
        <w:rPr>
          <w:b/>
          <w:bCs/>
        </w:rPr>
        <w:t xml:space="preserve">Paleolithic diets were not uniformly low-carbohydrate or meat-dominant</w:t>
      </w:r>
      <w:r>
        <w:t xml:space="preserve">. The</w:t>
      </w:r>
      <w:r>
        <w:t xml:space="preserve"> </w:t>
      </w:r>
      <w:r>
        <w:rPr>
          <w:b/>
          <w:bCs/>
        </w:rPr>
        <w:t xml:space="preserve">Kitava Study</w:t>
      </w:r>
      <w:r>
        <w:t xml:space="preserve"> </w:t>
      </w:r>
      <w:r>
        <w:t xml:space="preserve">(Lindeberg et al.) documented</w:t>
      </w:r>
      <w:r>
        <w:t xml:space="preserve"> </w:t>
      </w:r>
      <w:r>
        <w:rPr>
          <w:b/>
          <w:bCs/>
        </w:rPr>
        <w:t xml:space="preserve">high-carbohydrate, low-fat diets</w:t>
      </w:r>
      <w:r>
        <w:t xml:space="preserve"> </w:t>
      </w:r>
      <w:r>
        <w:t xml:space="preserve">(69% carbohydrate from tubers and fruit) with exceptional cardiovascular health in Papua New Guinea, while</w:t>
      </w:r>
      <w:r>
        <w:t xml:space="preserve"> </w:t>
      </w:r>
      <w:r>
        <w:rPr>
          <w:b/>
          <w:bCs/>
        </w:rPr>
        <w:t xml:space="preserve">arctic populations consumed very high fat, minimal carbohydrate diets</w:t>
      </w:r>
      <w:r>
        <w:t xml:space="preserve">. The common features across diverse Paleolithic patterns were:</w:t>
      </w:r>
      <w:r>
        <w:t xml:space="preserve"> </w:t>
      </w:r>
      <w:r>
        <w:rPr>
          <w:b/>
          <w:bCs/>
        </w:rPr>
        <w:t xml:space="preserve">absence of refined grains, added sugars, and processed foods; high fiber; food obtained through physical activity; and seasonal variation</w:t>
      </w:r>
      <w:r>
        <w:t xml:space="preserve">.</w:t>
      </w:r>
    </w:p>
    <w:bookmarkEnd w:id="119"/>
    <w:bookmarkStart w:id="120" w:name="X1c915c8905bd884303e0e5e9b971276b8eb9b22"/>
    <w:p>
      <w:pPr>
        <w:pStyle w:val="4"/>
      </w:pPr>
      <w:r>
        <w:t xml:space="preserve">4.5.2 Neolithic Agricultural Transition: Cereal Domestication and Civilization Diseases</w:t>
      </w:r>
    </w:p>
    <w:p>
      <w:pPr>
        <w:pStyle w:val="FirstParagraph"/>
      </w:pPr>
      <w:r>
        <w:t xml:space="preserve">The</w:t>
      </w:r>
      <w:r>
        <w:t xml:space="preserve"> </w:t>
      </w:r>
      <w:r>
        <w:rPr>
          <w:b/>
          <w:bCs/>
        </w:rPr>
        <w:t xml:space="preserve">transition from hunting-gathering to agriculture approximately 10,000 years ago</w:t>
      </w:r>
      <w:r>
        <w:t xml:space="preserve"> </w:t>
      </w:r>
      <w:r>
        <w:t xml:space="preserve">fundamentally altered human diets and disease patterns.</w:t>
      </w:r>
      <w:r>
        <w:t xml:space="preserve"> </w:t>
      </w:r>
      <w:r>
        <w:rPr>
          <w:b/>
          <w:bCs/>
        </w:rPr>
        <w:t xml:space="preserve">Cereal domestication provided caloric surplus supporting population growth, settlement, and civilization development</w:t>
      </w:r>
      <w:r>
        <w:t xml:space="preserve">, but at</w:t>
      </w:r>
      <w:r>
        <w:t xml:space="preserve"> </w:t>
      </w:r>
      <w:r>
        <w:rPr>
          <w:b/>
          <w:bCs/>
        </w:rPr>
        <w:t xml:space="preserve">nutritional cost</w:t>
      </w:r>
      <w:r>
        <w:t xml:space="preserve">: reduced dietary diversity; decreased micronutrient density; increased carbohydrate and decreased protein; emergence of dental caries and infectious diseases with settlement density; and novel protein sources (dairy, cereals) to which some populations lacked genetic adaptation.</w:t>
      </w:r>
    </w:p>
    <w:p>
      <w:pPr>
        <w:pStyle w:val="a0"/>
      </w:pPr>
      <w:r>
        <w:t xml:space="preserve">The</w:t>
      </w:r>
      <w:r>
        <w:t xml:space="preserve"> </w:t>
      </w:r>
      <w:r>
        <w:rPr>
          <w:b/>
          <w:bCs/>
        </w:rPr>
        <w:t xml:space="preserve">“</w:t>
      </w:r>
      <w:r>
        <w:rPr>
          <w:b/>
          <w:bCs/>
        </w:rPr>
        <w:t xml:space="preserve">diseases of civilization</w:t>
      </w:r>
      <w:r>
        <w:rPr>
          <w:b/>
          <w:bCs/>
        </w:rPr>
        <w:t xml:space="preserve">”</w:t>
      </w:r>
      <w:r>
        <w:rPr>
          <w:b/>
          <w:bCs/>
        </w:rPr>
        <w:t xml:space="preserve"> </w:t>
      </w:r>
      <w:r>
        <w:rPr>
          <w:b/>
          <w:bCs/>
        </w:rPr>
        <w:t xml:space="preserve">hypothesis</w:t>
      </w:r>
      <w:r>
        <w:t xml:space="preserve">—that modern chronic diseases result from mismatch between Paleolithic-adapted physiology and Neolithic/modern diets—has</w:t>
      </w:r>
      <w:r>
        <w:t xml:space="preserve"> </w:t>
      </w:r>
      <w:r>
        <w:rPr>
          <w:b/>
          <w:bCs/>
        </w:rPr>
        <w:t xml:space="preserve">partial validity but requires nuance</w:t>
      </w:r>
      <w:r>
        <w:t xml:space="preserve">. While</w:t>
      </w:r>
      <w:r>
        <w:t xml:space="preserve"> </w:t>
      </w:r>
      <w:r>
        <w:rPr>
          <w:b/>
          <w:bCs/>
        </w:rPr>
        <w:t xml:space="preserve">refined carbohydrates and processed foods clearly contribute to metabolic disease</w:t>
      </w:r>
      <w:r>
        <w:t xml:space="preserve">, populations consuming</w:t>
      </w:r>
      <w:r>
        <w:t xml:space="preserve"> </w:t>
      </w:r>
      <w:r>
        <w:rPr>
          <w:b/>
          <w:bCs/>
        </w:rPr>
        <w:t xml:space="preserve">traditional agricultural diets (Mediterranean, Okinawan, traditional Asian) demonstrate excellent health outcomes</w:t>
      </w:r>
      <w:r>
        <w:t xml:space="preserve">, suggesting that</w:t>
      </w:r>
      <w:r>
        <w:t xml:space="preserve"> </w:t>
      </w:r>
      <w:r>
        <w:rPr>
          <w:b/>
          <w:bCs/>
        </w:rPr>
        <w:t xml:space="preserve">agricultural diets per se are not harmful when based on whole foods and consumed with adequate physical activity</w:t>
      </w:r>
      <w:r>
        <w:t xml:space="preserve">.</w:t>
      </w:r>
    </w:p>
    <w:bookmarkEnd w:id="120"/>
    <w:bookmarkStart w:id="121" w:name="X5c2ed1d6a31d88277c4e6d4e5537e8910c904ce"/>
    <w:p>
      <w:pPr>
        <w:pStyle w:val="4"/>
      </w:pPr>
      <w:r>
        <w:t xml:space="preserve">4.5.3 Geographic and Climatic Dietary Adaptations</w:t>
      </w:r>
    </w:p>
    <w:p>
      <w:pPr>
        <w:pStyle w:val="FirstParagraph"/>
      </w:pPr>
      <w:r>
        <w:t xml:space="preserve">Human populations have</w:t>
      </w:r>
      <w:r>
        <w:t xml:space="preserve"> </w:t>
      </w:r>
      <w:r>
        <w:rPr>
          <w:b/>
          <w:bCs/>
        </w:rPr>
        <w:t xml:space="preserve">adapted genetically and culturally to diverse environments</w:t>
      </w:r>
      <w:r>
        <w:t xml:space="preserve">, producing remarkable dietary diversity:</w:t>
      </w:r>
    </w:p>
    <w:tbl>
      <w:tblPr>
        <w:tblStyle w:val="Table"/>
        <w:tblW w:type="pct" w:w="5000"/>
        <w:jc w:val="left"/>
        <w:tblLayout w:type="fixed"/>
        <w:tblLook w:firstRow="1" w:lastRow="0" w:firstColumn="0" w:lastColumn="0" w:noHBand="0" w:noVBand="0" w:val="0020"/>
      </w:tblPr>
      <w:tblGrid>
        <w:gridCol w:w="1281"/>
        <w:gridCol w:w="3144"/>
        <w:gridCol w:w="1747"/>
        <w:gridCol w:w="1747"/>
      </w:tblGrid>
      <w:tr>
        <w:trPr>
          <w:tblHeader w:val="on"/>
        </w:trPr>
        <w:tc>
          <w:tcPr/>
          <w:p>
            <w:pPr>
              <w:pStyle w:val="Compact"/>
              <w:jc w:val="left"/>
            </w:pPr>
            <w:r>
              <w:t xml:space="preserve">Environment</w:t>
            </w:r>
          </w:p>
        </w:tc>
        <w:tc>
          <w:tcPr/>
          <w:p>
            <w:pPr>
              <w:pStyle w:val="Compact"/>
              <w:jc w:val="left"/>
            </w:pPr>
            <w:r>
              <w:t xml:space="preserve">Traditional Dietary Pattern</w:t>
            </w:r>
          </w:p>
        </w:tc>
        <w:tc>
          <w:tcPr/>
          <w:p>
            <w:pPr>
              <w:pStyle w:val="Compact"/>
              <w:jc w:val="left"/>
            </w:pPr>
            <w:r>
              <w:t xml:space="preserve">Key Adaptations</w:t>
            </w:r>
          </w:p>
        </w:tc>
        <w:tc>
          <w:tcPr/>
          <w:p>
            <w:pPr>
              <w:pStyle w:val="Compact"/>
              <w:jc w:val="left"/>
            </w:pPr>
            <w:r>
              <w:t xml:space="preserve">Genetic Evidence</w:t>
            </w:r>
          </w:p>
        </w:tc>
      </w:tr>
      <w:tr>
        <w:tc>
          <w:tcPr/>
          <w:p>
            <w:pPr>
              <w:pStyle w:val="Compact"/>
              <w:jc w:val="left"/>
            </w:pPr>
            <w:r>
              <w:rPr>
                <w:b/>
                <w:bCs/>
              </w:rPr>
              <w:t xml:space="preserve">Arctic/temperate coastal</w:t>
            </w:r>
          </w:p>
        </w:tc>
        <w:tc>
          <w:tcPr/>
          <w:p>
            <w:pPr>
              <w:pStyle w:val="Compact"/>
              <w:jc w:val="left"/>
            </w:pPr>
            <w:r>
              <w:t xml:space="preserve">Marine mammal and fish-based; very high fat</w:t>
            </w:r>
          </w:p>
        </w:tc>
        <w:tc>
          <w:tcPr/>
          <w:p>
            <w:pPr>
              <w:pStyle w:val="Compact"/>
              <w:jc w:val="left"/>
            </w:pPr>
            <w:r>
              <w:t xml:space="preserve">High fat tolerance; efficient vitamin D synthesis from limited UV exposure</w:t>
            </w:r>
          </w:p>
        </w:tc>
        <w:tc>
          <w:tcPr/>
          <w:p>
            <w:pPr>
              <w:pStyle w:val="Compact"/>
              <w:jc w:val="left"/>
            </w:pPr>
            <w:r>
              <w:t xml:space="preserve">CPT1A variants for ketone utilization; skin pigmentation variation</w:t>
            </w:r>
          </w:p>
        </w:tc>
      </w:tr>
      <w:tr>
        <w:tc>
          <w:tcPr/>
          <w:p>
            <w:pPr>
              <w:pStyle w:val="Compact"/>
              <w:jc w:val="left"/>
            </w:pPr>
            <w:r>
              <w:rPr>
                <w:b/>
                <w:bCs/>
              </w:rPr>
              <w:t xml:space="preserve">High altitude</w:t>
            </w:r>
          </w:p>
        </w:tc>
        <w:tc>
          <w:tcPr/>
          <w:p>
            <w:pPr>
              <w:pStyle w:val="Compact"/>
              <w:jc w:val="left"/>
            </w:pPr>
            <w:r>
              <w:t xml:space="preserve">Mixed pastoral and agricultural; high carbohydrate</w:t>
            </w:r>
          </w:p>
        </w:tc>
        <w:tc>
          <w:tcPr/>
          <w:p>
            <w:pPr>
              <w:pStyle w:val="Compact"/>
              <w:jc w:val="left"/>
            </w:pPr>
            <w:r>
              <w:t xml:space="preserve">Enhanced glycolytic efficiency; hemoglobin adaptation</w:t>
            </w:r>
          </w:p>
        </w:tc>
        <w:tc>
          <w:tcPr/>
          <w:p>
            <w:pPr>
              <w:pStyle w:val="Compact"/>
              <w:jc w:val="left"/>
            </w:pPr>
            <w:r>
              <w:t xml:space="preserve">EGLN1, EPAS1 variants for hypoxia adaptation</w:t>
            </w:r>
          </w:p>
        </w:tc>
      </w:tr>
      <w:tr>
        <w:tc>
          <w:tcPr/>
          <w:p>
            <w:pPr>
              <w:pStyle w:val="Compact"/>
              <w:jc w:val="left"/>
            </w:pPr>
            <w:r>
              <w:rPr>
                <w:b/>
                <w:bCs/>
              </w:rPr>
              <w:t xml:space="preserve">Tropical equatorial</w:t>
            </w:r>
          </w:p>
        </w:tc>
        <w:tc>
          <w:tcPr/>
          <w:p>
            <w:pPr>
              <w:pStyle w:val="Compact"/>
              <w:jc w:val="left"/>
            </w:pPr>
            <w:r>
              <w:t xml:space="preserve">Plant-dominant; tubers, fruits, vegetables; lean game</w:t>
            </w:r>
          </w:p>
        </w:tc>
        <w:tc>
          <w:tcPr/>
          <w:p>
            <w:pPr>
              <w:pStyle w:val="Compact"/>
              <w:jc w:val="left"/>
            </w:pPr>
            <w:r>
              <w:t xml:space="preserve">Efficient heat dissipation; darker skin for folate protection</w:t>
            </w:r>
          </w:p>
        </w:tc>
        <w:tc>
          <w:tcPr/>
          <w:p>
            <w:pPr>
              <w:pStyle w:val="Compact"/>
              <w:jc w:val="left"/>
            </w:pPr>
            <w:r>
              <w:t xml:space="preserve">Lactase non-persistence common; AMY1 copy number variation for starch digestion</w:t>
            </w:r>
          </w:p>
        </w:tc>
      </w:tr>
      <w:tr>
        <w:tc>
          <w:tcPr/>
          <w:p>
            <w:pPr>
              <w:pStyle w:val="Compact"/>
              <w:jc w:val="left"/>
            </w:pPr>
            <w:r>
              <w:rPr>
                <w:b/>
                <w:bCs/>
              </w:rPr>
              <w:t xml:space="preserve">Grassland/steppe</w:t>
            </w:r>
          </w:p>
        </w:tc>
        <w:tc>
          <w:tcPr/>
          <w:p>
            <w:pPr>
              <w:pStyle w:val="Compact"/>
              <w:jc w:val="left"/>
            </w:pPr>
            <w:r>
              <w:t xml:space="preserve">Pastoral nomadic; dairy, meat, blood products</w:t>
            </w:r>
          </w:p>
        </w:tc>
        <w:tc>
          <w:tcPr/>
          <w:p>
            <w:pPr>
              <w:pStyle w:val="Compact"/>
              <w:jc w:val="left"/>
            </w:pPr>
            <w:r>
              <w:t xml:space="preserve">Lactase persistence (LP allele); high protein-fat tolerance</w:t>
            </w:r>
          </w:p>
        </w:tc>
        <w:tc>
          <w:tcPr/>
          <w:p>
            <w:pPr>
              <w:pStyle w:val="Compact"/>
              <w:jc w:val="left"/>
            </w:pPr>
            <w:r>
              <w:t xml:space="preserve">LP allele frequencies &gt;80% in Northern European, some African pastoralist populations</w:t>
            </w:r>
          </w:p>
        </w:tc>
      </w:tr>
      <w:tr>
        <w:tc>
          <w:tcPr/>
          <w:p>
            <w:pPr>
              <w:pStyle w:val="Compact"/>
              <w:jc w:val="left"/>
            </w:pPr>
            <w:r>
              <w:rPr>
                <w:b/>
                <w:bCs/>
              </w:rPr>
              <w:t xml:space="preserve">Desert/arid</w:t>
            </w:r>
          </w:p>
        </w:tc>
        <w:tc>
          <w:tcPr/>
          <w:p>
            <w:pPr>
              <w:pStyle w:val="Compact"/>
              <w:jc w:val="left"/>
            </w:pPr>
            <w:r>
              <w:t xml:space="preserve">Date, grain, legume-based; limited animal products</w:t>
            </w:r>
          </w:p>
        </w:tc>
        <w:tc>
          <w:tcPr/>
          <w:p>
            <w:pPr>
              <w:pStyle w:val="Compact"/>
              <w:jc w:val="left"/>
            </w:pPr>
            <w:r>
              <w:t xml:space="preserve">Water conservation; heat tolerance</w:t>
            </w:r>
          </w:p>
        </w:tc>
        <w:tc>
          <w:tcPr/>
          <w:p>
            <w:pPr>
              <w:pStyle w:val="Compact"/>
              <w:jc w:val="left"/>
            </w:pPr>
            <w:r>
              <w:t xml:space="preserve">Diverse adaptations; many populations remain lactase non-persistent</w:t>
            </w:r>
          </w:p>
        </w:tc>
      </w:tr>
    </w:tbl>
    <w:p>
      <w:pPr>
        <w:pStyle w:val="a0"/>
      </w:pPr>
      <w:r>
        <w:t xml:space="preserve">These adaptations demonstrate that</w:t>
      </w:r>
      <w:r>
        <w:t xml:space="preserve"> </w:t>
      </w:r>
      <w:r>
        <w:rPr>
          <w:b/>
          <w:bCs/>
        </w:rPr>
        <w:t xml:space="preserve">no single</w:t>
      </w:r>
      <w:r>
        <w:rPr>
          <w:b/>
          <w:bCs/>
        </w:rPr>
        <w:t xml:space="preserve"> </w:t>
      </w:r>
      <w:r>
        <w:rPr>
          <w:b/>
          <w:bCs/>
        </w:rPr>
        <w:t xml:space="preserve">“</w:t>
      </w:r>
      <w:r>
        <w:rPr>
          <w:b/>
          <w:bCs/>
        </w:rPr>
        <w:t xml:space="preserve">ancestral</w:t>
      </w:r>
      <w:r>
        <w:rPr>
          <w:b/>
          <w:bCs/>
        </w:rPr>
        <w:t xml:space="preserve">”</w:t>
      </w:r>
      <w:r>
        <w:rPr>
          <w:b/>
          <w:bCs/>
        </w:rPr>
        <w:t xml:space="preserve"> </w:t>
      </w:r>
      <w:r>
        <w:rPr>
          <w:b/>
          <w:bCs/>
        </w:rPr>
        <w:t xml:space="preserve">diet applies to all humans</w:t>
      </w:r>
      <w:r>
        <w:t xml:space="preserve">, and that</w:t>
      </w:r>
      <w:r>
        <w:t xml:space="preserve"> </w:t>
      </w:r>
      <w:r>
        <w:rPr>
          <w:b/>
          <w:bCs/>
        </w:rPr>
        <w:t xml:space="preserve">genetic variation in metabolism, digestion, and nutrient handling supports diverse dietary patterns</w:t>
      </w:r>
      <w:r>
        <w:t xml:space="preserve">.</w:t>
      </w:r>
    </w:p>
    <w:bookmarkEnd w:id="121"/>
    <w:bookmarkStart w:id="122" w:name="Xfb9f30a1123185eecd2eaedf8745a4efa743ea2"/>
    <w:p>
      <w:pPr>
        <w:pStyle w:val="4"/>
      </w:pPr>
      <w:r>
        <w:t xml:space="preserve">4.5.4 Fermentation, Preservation, and Food Processing Traditions</w:t>
      </w:r>
    </w:p>
    <w:p>
      <w:pPr>
        <w:pStyle w:val="FirstParagraph"/>
      </w:pPr>
      <w:r>
        <w:rPr>
          <w:b/>
          <w:bCs/>
        </w:rPr>
        <w:t xml:space="preserve">Traditional food processing techniques developed across cultures to extend shelf life, enhance safety, improve digestibility, and create novel flavors</w:t>
      </w:r>
      <w:r>
        <w:t xml:space="preserve">:</w:t>
      </w:r>
    </w:p>
    <w:tbl>
      <w:tblPr>
        <w:tblStyle w:val="Table"/>
        <w:tblW w:type="pct" w:w="5000"/>
        <w:jc w:val="left"/>
        <w:tblLayout w:type="fixed"/>
        <w:tblLook w:firstRow="1" w:lastRow="0" w:firstColumn="0" w:lastColumn="0" w:noHBand="0" w:noVBand="0" w:val="0020"/>
      </w:tblPr>
      <w:tblGrid>
        <w:gridCol w:w="1320"/>
        <w:gridCol w:w="1188"/>
        <w:gridCol w:w="2508"/>
        <w:gridCol w:w="2904"/>
      </w:tblGrid>
      <w:tr>
        <w:trPr>
          <w:tblHeader w:val="on"/>
        </w:trPr>
        <w:tc>
          <w:tcPr/>
          <w:p>
            <w:pPr>
              <w:pStyle w:val="Compact"/>
              <w:jc w:val="left"/>
            </w:pPr>
            <w:r>
              <w:t xml:space="preserve">Technique</w:t>
            </w:r>
          </w:p>
        </w:tc>
        <w:tc>
          <w:tcPr/>
          <w:p>
            <w:pPr>
              <w:pStyle w:val="Compact"/>
              <w:jc w:val="left"/>
            </w:pPr>
            <w:r>
              <w:t xml:space="preserve">Examples</w:t>
            </w:r>
          </w:p>
        </w:tc>
        <w:tc>
          <w:tcPr/>
          <w:p>
            <w:pPr>
              <w:pStyle w:val="Compact"/>
              <w:jc w:val="left"/>
            </w:pPr>
            <w:r>
              <w:t xml:space="preserve">Nutritional Effects</w:t>
            </w:r>
          </w:p>
        </w:tc>
        <w:tc>
          <w:tcPr/>
          <w:p>
            <w:pPr>
              <w:pStyle w:val="Compact"/>
              <w:jc w:val="left"/>
            </w:pPr>
            <w:r>
              <w:t xml:space="preserve">Cultural Distribution</w:t>
            </w:r>
          </w:p>
        </w:tc>
      </w:tr>
      <w:tr>
        <w:tc>
          <w:tcPr/>
          <w:p>
            <w:pPr>
              <w:pStyle w:val="Compact"/>
              <w:jc w:val="left"/>
            </w:pPr>
            <w:r>
              <w:rPr>
                <w:b/>
                <w:bCs/>
              </w:rPr>
              <w:t xml:space="preserve">Lacto-fermentation</w:t>
            </w:r>
          </w:p>
        </w:tc>
        <w:tc>
          <w:tcPr/>
          <w:p>
            <w:pPr>
              <w:pStyle w:val="Compact"/>
              <w:jc w:val="left"/>
            </w:pPr>
            <w:r>
              <w:t xml:space="preserve">Sauerkraut, kimchi, pickles, yogurt, kefir, traditional cheeses</w:t>
            </w:r>
          </w:p>
        </w:tc>
        <w:tc>
          <w:tcPr/>
          <w:p>
            <w:pPr>
              <w:pStyle w:val="Compact"/>
              <w:jc w:val="left"/>
            </w:pPr>
            <w:r>
              <w:t xml:space="preserve">Probiotic bacteria; enhanced B-vitamin content; reduced antinutrients; improved mineral bioavailability</w:t>
            </w:r>
          </w:p>
        </w:tc>
        <w:tc>
          <w:tcPr/>
          <w:p>
            <w:pPr>
              <w:pStyle w:val="Compact"/>
              <w:jc w:val="left"/>
            </w:pPr>
            <w:r>
              <w:t xml:space="preserve">Global; particularly European, Asian, African</w:t>
            </w:r>
          </w:p>
        </w:tc>
      </w:tr>
      <w:tr>
        <w:tc>
          <w:tcPr/>
          <w:p>
            <w:pPr>
              <w:pStyle w:val="Compact"/>
              <w:jc w:val="left"/>
            </w:pPr>
            <w:r>
              <w:rPr>
                <w:b/>
                <w:bCs/>
              </w:rPr>
              <w:t xml:space="preserve">Alcoholic fermentation</w:t>
            </w:r>
          </w:p>
        </w:tc>
        <w:tc>
          <w:tcPr/>
          <w:p>
            <w:pPr>
              <w:pStyle w:val="Compact"/>
              <w:jc w:val="left"/>
            </w:pPr>
            <w:r>
              <w:t xml:space="preserve">Wine, beer, sake, pulque</w:t>
            </w:r>
          </w:p>
        </w:tc>
        <w:tc>
          <w:tcPr/>
          <w:p>
            <w:pPr>
              <w:pStyle w:val="Compact"/>
              <w:jc w:val="left"/>
            </w:pPr>
            <w:r>
              <w:t xml:space="preserve">Preservation; social/ritual functions; polyphenol extraction (wine)</w:t>
            </w:r>
          </w:p>
        </w:tc>
        <w:tc>
          <w:tcPr/>
          <w:p>
            <w:pPr>
              <w:pStyle w:val="Compact"/>
              <w:jc w:val="left"/>
            </w:pPr>
            <w:r>
              <w:t xml:space="preserve">Mediterranean, European, Asian, Mesoamerican</w:t>
            </w:r>
          </w:p>
        </w:tc>
      </w:tr>
      <w:tr>
        <w:tc>
          <w:tcPr/>
          <w:p>
            <w:pPr>
              <w:pStyle w:val="Compact"/>
              <w:jc w:val="left"/>
            </w:pPr>
            <w:r>
              <w:rPr>
                <w:b/>
                <w:bCs/>
              </w:rPr>
              <w:t xml:space="preserve">Drying/smoking</w:t>
            </w:r>
          </w:p>
        </w:tc>
        <w:tc>
          <w:tcPr/>
          <w:p>
            <w:pPr>
              <w:pStyle w:val="Compact"/>
              <w:jc w:val="left"/>
            </w:pPr>
            <w:r>
              <w:t xml:space="preserve">Jerky, dried fish, dried fruits</w:t>
            </w:r>
          </w:p>
        </w:tc>
        <w:tc>
          <w:tcPr/>
          <w:p>
            <w:pPr>
              <w:pStyle w:val="Compact"/>
              <w:jc w:val="left"/>
            </w:pPr>
            <w:r>
              <w:t xml:space="preserve">Concentrated nutrients; reduced water activity inhibits pathogens; long-term storage</w:t>
            </w:r>
          </w:p>
        </w:tc>
        <w:tc>
          <w:tcPr/>
          <w:p>
            <w:pPr>
              <w:pStyle w:val="Compact"/>
              <w:jc w:val="left"/>
            </w:pPr>
            <w:r>
              <w:t xml:space="preserve">Arctic, temperate, tropical (solar drying)</w:t>
            </w:r>
          </w:p>
        </w:tc>
      </w:tr>
      <w:tr>
        <w:tc>
          <w:tcPr/>
          <w:p>
            <w:pPr>
              <w:pStyle w:val="Compact"/>
              <w:jc w:val="left"/>
            </w:pPr>
            <w:r>
              <w:rPr>
                <w:b/>
                <w:bCs/>
              </w:rPr>
              <w:t xml:space="preserve">Nixtamalization</w:t>
            </w:r>
          </w:p>
        </w:tc>
        <w:tc>
          <w:tcPr/>
          <w:p>
            <w:pPr>
              <w:pStyle w:val="Compact"/>
              <w:jc w:val="left"/>
            </w:pPr>
            <w:r>
              <w:t xml:space="preserve">Tortillas, tamales (lime-treated maize)</w:t>
            </w:r>
          </w:p>
        </w:tc>
        <w:tc>
          <w:tcPr/>
          <w:p>
            <w:pPr>
              <w:pStyle w:val="Compact"/>
              <w:jc w:val="left"/>
            </w:pPr>
            <w:r>
              <w:t xml:space="preserve">Releases niacin from bound form; increases calcium; reduces mycotoxins</w:t>
            </w:r>
          </w:p>
        </w:tc>
        <w:tc>
          <w:tcPr/>
          <w:p>
            <w:pPr>
              <w:pStyle w:val="Compact"/>
              <w:jc w:val="left"/>
            </w:pPr>
            <w:r>
              <w:t xml:space="preserve">Mesoamerican, spread globally</w:t>
            </w:r>
          </w:p>
        </w:tc>
      </w:tr>
      <w:tr>
        <w:tc>
          <w:tcPr/>
          <w:p>
            <w:pPr>
              <w:pStyle w:val="Compact"/>
              <w:jc w:val="left"/>
            </w:pPr>
            <w:r>
              <w:rPr>
                <w:b/>
                <w:bCs/>
              </w:rPr>
              <w:t xml:space="preserve">Sprouting/malting</w:t>
            </w:r>
          </w:p>
        </w:tc>
        <w:tc>
          <w:tcPr/>
          <w:p>
            <w:pPr>
              <w:pStyle w:val="Compact"/>
              <w:jc w:val="left"/>
            </w:pPr>
            <w:r>
              <w:t xml:space="preserve">Sprouted grains, malt beverages</w:t>
            </w:r>
          </w:p>
        </w:tc>
        <w:tc>
          <w:tcPr/>
          <w:p>
            <w:pPr>
              <w:pStyle w:val="Compact"/>
              <w:jc w:val="left"/>
            </w:pPr>
            <w:r>
              <w:t xml:space="preserve">Reduces phytates; increases enzyme activity; improves amino acid profile</w:t>
            </w:r>
          </w:p>
        </w:tc>
        <w:tc>
          <w:tcPr/>
          <w:p>
            <w:pPr>
              <w:pStyle w:val="Compact"/>
              <w:jc w:val="left"/>
            </w:pPr>
            <w:r>
              <w:t xml:space="preserve">Middle Eastern, European, Asian</w:t>
            </w:r>
          </w:p>
        </w:tc>
      </w:tr>
      <w:tr>
        <w:tc>
          <w:tcPr/>
          <w:p>
            <w:pPr>
              <w:pStyle w:val="Compact"/>
              <w:jc w:val="left"/>
            </w:pPr>
            <w:r>
              <w:rPr>
                <w:b/>
                <w:bCs/>
              </w:rPr>
              <w:t xml:space="preserve">Fat preservation</w:t>
            </w:r>
          </w:p>
        </w:tc>
        <w:tc>
          <w:tcPr/>
          <w:p>
            <w:pPr>
              <w:pStyle w:val="Compact"/>
              <w:jc w:val="left"/>
            </w:pPr>
            <w:r>
              <w:t xml:space="preserve">Confit, potted meats, pemmican</w:t>
            </w:r>
          </w:p>
        </w:tc>
        <w:tc>
          <w:tcPr/>
          <w:p>
            <w:pPr>
              <w:pStyle w:val="Compact"/>
              <w:jc w:val="left"/>
            </w:pPr>
            <w:r>
              <w:t xml:space="preserve">Anaerobic preservation; concentrated energy; long-term storage</w:t>
            </w:r>
          </w:p>
        </w:tc>
        <w:tc>
          <w:tcPr/>
          <w:p>
            <w:pPr>
              <w:pStyle w:val="Compact"/>
              <w:jc w:val="left"/>
            </w:pPr>
            <w:r>
              <w:t xml:space="preserve">European, Native American</w:t>
            </w:r>
          </w:p>
        </w:tc>
      </w:tr>
    </w:tbl>
    <w:p>
      <w:pPr>
        <w:pStyle w:val="a0"/>
      </w:pPr>
      <w:r>
        <w:t xml:space="preserve">These traditional processes</w:t>
      </w:r>
      <w:r>
        <w:t xml:space="preserve"> </w:t>
      </w:r>
      <w:r>
        <w:rPr>
          <w:b/>
          <w:bCs/>
        </w:rPr>
        <w:t xml:space="preserve">often improved nutritional value compared to raw ingredients</w:t>
      </w:r>
      <w:r>
        <w:t xml:space="preserve">, contrasting with</w:t>
      </w:r>
      <w:r>
        <w:t xml:space="preserve"> </w:t>
      </w:r>
      <w:r>
        <w:rPr>
          <w:b/>
          <w:bCs/>
        </w:rPr>
        <w:t xml:space="preserve">modern industrial processing that frequently reduces nutrient density</w:t>
      </w:r>
      <w:r>
        <w:t xml:space="preserve"> </w:t>
      </w:r>
      <w:r>
        <w:t xml:space="preserve">while adding salt, sugar, and unhealthy fats. The</w:t>
      </w:r>
      <w:r>
        <w:t xml:space="preserve"> </w:t>
      </w:r>
      <w:r>
        <w:rPr>
          <w:b/>
          <w:bCs/>
        </w:rPr>
        <w:t xml:space="preserve">re-emergence of traditional fermentation</w:t>
      </w:r>
      <w:r>
        <w:t xml:space="preserve"> </w:t>
      </w:r>
      <w:r>
        <w:t xml:space="preserve">in contemporary</w:t>
      </w:r>
      <w:r>
        <w:t xml:space="preserve"> </w:t>
      </w:r>
      <w:r>
        <w:t xml:space="preserve">“</w:t>
      </w:r>
      <w:r>
        <w:t xml:space="preserve">gut health</w:t>
      </w:r>
      <w:r>
        <w:t xml:space="preserve">”</w:t>
      </w:r>
      <w:r>
        <w:t xml:space="preserve"> </w:t>
      </w:r>
      <w:r>
        <w:t xml:space="preserve">trends represents partial recovery of this knowledge.</w:t>
      </w:r>
    </w:p>
    <w:bookmarkEnd w:id="122"/>
    <w:bookmarkEnd w:id="123"/>
    <w:bookmarkEnd w:id="124"/>
    <w:bookmarkStart w:id="147" w:name="diet-in-specific-health-conditions"/>
    <w:p>
      <w:pPr>
        <w:pStyle w:val="2"/>
      </w:pPr>
      <w:r>
        <w:t xml:space="preserve">5. Diet in Specific Health Conditions</w:t>
      </w:r>
    </w:p>
    <w:bookmarkStart w:id="129" w:name="type-2-diabetes-and-metabolic-syndrome"/>
    <w:p>
      <w:pPr>
        <w:pStyle w:val="3"/>
      </w:pPr>
      <w:r>
        <w:t xml:space="preserve">5.1 Type 2 Diabetes and Metabolic Syndrome</w:t>
      </w:r>
    </w:p>
    <w:bookmarkStart w:id="125" w:name="X770f263be3390fe1fcc1cde1e5526117f73d1f7"/>
    <w:p>
      <w:pPr>
        <w:pStyle w:val="4"/>
      </w:pPr>
      <w:r>
        <w:t xml:space="preserve">5.1.1 Carbohydrate Quality: Glycemic Index and Load Considerations</w:t>
      </w:r>
    </w:p>
    <w:p>
      <w:pPr>
        <w:pStyle w:val="FirstParagraph"/>
      </w:pPr>
      <w:r>
        <w:rPr>
          <w:b/>
          <w:bCs/>
        </w:rPr>
        <w:t xml:space="preserve">Carbohydrate quality, rather than quantity alone, critically determines glycemic responses and metabolic outcomes in type 2 diabetes</w:t>
      </w:r>
      <w:r>
        <w:t xml:space="preserve">. The</w:t>
      </w:r>
      <w:r>
        <w:t xml:space="preserve"> </w:t>
      </w:r>
      <w:r>
        <w:rPr>
          <w:b/>
          <w:bCs/>
        </w:rPr>
        <w:t xml:space="preserve">glycemic index (GI)</w:t>
      </w:r>
      <w:r>
        <w:t xml:space="preserve"> </w:t>
      </w:r>
      <w:r>
        <w:t xml:space="preserve">ranks carbohydrate-containing foods by postprandial blood glucose response compared to glucose or white bread, while</w:t>
      </w:r>
      <w:r>
        <w:t xml:space="preserve"> </w:t>
      </w:r>
      <w:r>
        <w:rPr>
          <w:b/>
          <w:bCs/>
        </w:rPr>
        <w:t xml:space="preserve">glycemic load (GL)</w:t>
      </w:r>
      <w:r>
        <w:t xml:space="preserve"> </w:t>
      </w:r>
      <w:r>
        <w:t xml:space="preserve">incorporates serving size (GI × carbohydrate grams per serving ÷ 100).</w:t>
      </w:r>
      <w:r>
        <w:t xml:space="preserve"> </w:t>
      </w:r>
      <w:r>
        <w:rPr>
          <w:b/>
          <w:bCs/>
        </w:rPr>
        <w:t xml:space="preserve">Low-GI diets (GI &lt;55) improve glycemic control</w:t>
      </w:r>
      <w:r>
        <w:t xml:space="preserve">, with HbA1c reductions of 0.3–0.5% in meta-analyses, comparable to some oral hypoglycemic agents.</w:t>
      </w:r>
    </w:p>
    <w:tbl>
      <w:tblPr>
        <w:tblStyle w:val="Table"/>
        <w:tblW w:type="pct" w:w="5000"/>
        <w:jc w:val="left"/>
        <w:tblLayout w:type="fixed"/>
        <w:tblLook w:firstRow="1" w:lastRow="0" w:firstColumn="0" w:lastColumn="0" w:noHBand="0" w:noVBand="0" w:val="0020"/>
      </w:tblPr>
      <w:tblGrid>
        <w:gridCol w:w="1687"/>
        <w:gridCol w:w="1298"/>
        <w:gridCol w:w="1817"/>
        <w:gridCol w:w="3116"/>
      </w:tblGrid>
      <w:tr>
        <w:trPr>
          <w:tblHeader w:val="on"/>
        </w:trPr>
        <w:tc>
          <w:tcPr/>
          <w:p>
            <w:pPr>
              <w:pStyle w:val="Compact"/>
              <w:jc w:val="left"/>
            </w:pPr>
            <w:r>
              <w:t xml:space="preserve">Food Category</w:t>
            </w:r>
          </w:p>
        </w:tc>
        <w:tc>
          <w:tcPr/>
          <w:p>
            <w:pPr>
              <w:pStyle w:val="Compact"/>
              <w:jc w:val="left"/>
            </w:pPr>
            <w:r>
              <w:t xml:space="preserve">Typical GI</w:t>
            </w:r>
          </w:p>
        </w:tc>
        <w:tc>
          <w:tcPr/>
          <w:p>
            <w:pPr>
              <w:pStyle w:val="Compact"/>
              <w:jc w:val="left"/>
            </w:pPr>
            <w:r>
              <w:t xml:space="preserve">GL per Serving</w:t>
            </w:r>
          </w:p>
        </w:tc>
        <w:tc>
          <w:tcPr/>
          <w:p>
            <w:pPr>
              <w:pStyle w:val="Compact"/>
              <w:jc w:val="left"/>
            </w:pPr>
            <w:r>
              <w:t xml:space="preserve">Diabetes Recommendation</w:t>
            </w:r>
          </w:p>
        </w:tc>
      </w:tr>
      <w:tr>
        <w:tc>
          <w:tcPr/>
          <w:p>
            <w:pPr>
              <w:pStyle w:val="Compact"/>
              <w:jc w:val="left"/>
            </w:pPr>
            <w:r>
              <w:rPr>
                <w:b/>
                <w:bCs/>
              </w:rPr>
              <w:t xml:space="preserve">Non-starchy vegetables</w:t>
            </w:r>
          </w:p>
        </w:tc>
        <w:tc>
          <w:tcPr/>
          <w:p>
            <w:pPr>
              <w:pStyle w:val="Compact"/>
              <w:jc w:val="left"/>
            </w:pPr>
            <w:r>
              <w:t xml:space="preserve">&lt;15</w:t>
            </w:r>
          </w:p>
        </w:tc>
        <w:tc>
          <w:tcPr/>
          <w:p>
            <w:pPr>
              <w:pStyle w:val="Compact"/>
              <w:jc w:val="left"/>
            </w:pPr>
            <w:r>
              <w:t xml:space="preserve">&lt;1</w:t>
            </w:r>
          </w:p>
        </w:tc>
        <w:tc>
          <w:tcPr/>
          <w:p>
            <w:pPr>
              <w:pStyle w:val="Compact"/>
              <w:jc w:val="left"/>
            </w:pPr>
            <w:r>
              <w:t xml:space="preserve">Unlimited; foundation of meals</w:t>
            </w:r>
          </w:p>
        </w:tc>
      </w:tr>
      <w:tr>
        <w:tc>
          <w:tcPr/>
          <w:p>
            <w:pPr>
              <w:pStyle w:val="Compact"/>
              <w:jc w:val="left"/>
            </w:pPr>
            <w:r>
              <w:rPr>
                <w:b/>
                <w:bCs/>
              </w:rPr>
              <w:t xml:space="preserve">Legumes</w:t>
            </w:r>
          </w:p>
        </w:tc>
        <w:tc>
          <w:tcPr/>
          <w:p>
            <w:pPr>
              <w:pStyle w:val="Compact"/>
              <w:jc w:val="left"/>
            </w:pPr>
            <w:r>
              <w:t xml:space="preserve">20–40</w:t>
            </w:r>
          </w:p>
        </w:tc>
        <w:tc>
          <w:tcPr/>
          <w:p>
            <w:pPr>
              <w:pStyle w:val="Compact"/>
              <w:jc w:val="left"/>
            </w:pPr>
            <w:r>
              <w:t xml:space="preserve">5–10</w:t>
            </w:r>
          </w:p>
        </w:tc>
        <w:tc>
          <w:tcPr/>
          <w:p>
            <w:pPr>
              <w:pStyle w:val="Compact"/>
              <w:jc w:val="left"/>
            </w:pPr>
            <w:r>
              <w:t xml:space="preserve">Encourage daily; excellent glucose stability</w:t>
            </w:r>
          </w:p>
        </w:tc>
      </w:tr>
      <w:tr>
        <w:tc>
          <w:tcPr/>
          <w:p>
            <w:pPr>
              <w:pStyle w:val="Compact"/>
              <w:jc w:val="left"/>
            </w:pPr>
            <w:r>
              <w:rPr>
                <w:b/>
                <w:bCs/>
              </w:rPr>
              <w:t xml:space="preserve">Whole grains</w:t>
            </w:r>
          </w:p>
        </w:tc>
        <w:tc>
          <w:tcPr/>
          <w:p>
            <w:pPr>
              <w:pStyle w:val="Compact"/>
              <w:jc w:val="left"/>
            </w:pPr>
            <w:r>
              <w:t xml:space="preserve">40–55</w:t>
            </w:r>
          </w:p>
        </w:tc>
        <w:tc>
          <w:tcPr/>
          <w:p>
            <w:pPr>
              <w:pStyle w:val="Compact"/>
              <w:jc w:val="left"/>
            </w:pPr>
            <w:r>
              <w:t xml:space="preserve">10–15</w:t>
            </w:r>
          </w:p>
        </w:tc>
        <w:tc>
          <w:tcPr/>
          <w:p>
            <w:pPr>
              <w:pStyle w:val="Compact"/>
              <w:jc w:val="left"/>
            </w:pPr>
            <w:r>
              <w:t xml:space="preserve">Preferred over refined; moderate portions</w:t>
            </w:r>
          </w:p>
        </w:tc>
      </w:tr>
      <w:tr>
        <w:tc>
          <w:tcPr/>
          <w:p>
            <w:pPr>
              <w:pStyle w:val="Compact"/>
              <w:jc w:val="left"/>
            </w:pPr>
            <w:r>
              <w:rPr>
                <w:b/>
                <w:bCs/>
              </w:rPr>
              <w:t xml:space="preserve">Fruits</w:t>
            </w:r>
          </w:p>
        </w:tc>
        <w:tc>
          <w:tcPr/>
          <w:p>
            <w:pPr>
              <w:pStyle w:val="Compact"/>
              <w:jc w:val="left"/>
            </w:pPr>
            <w:r>
              <w:t xml:space="preserve">25–60</w:t>
            </w:r>
          </w:p>
        </w:tc>
        <w:tc>
          <w:tcPr/>
          <w:p>
            <w:pPr>
              <w:pStyle w:val="Compact"/>
              <w:jc w:val="left"/>
            </w:pPr>
            <w:r>
              <w:t xml:space="preserve">5–15</w:t>
            </w:r>
          </w:p>
        </w:tc>
        <w:tc>
          <w:tcPr/>
          <w:p>
            <w:pPr>
              <w:pStyle w:val="Compact"/>
              <w:jc w:val="left"/>
            </w:pPr>
            <w:r>
              <w:t xml:space="preserve">Whole fruits preferred; limit juice</w:t>
            </w:r>
          </w:p>
        </w:tc>
      </w:tr>
      <w:tr>
        <w:tc>
          <w:tcPr/>
          <w:p>
            <w:pPr>
              <w:pStyle w:val="Compact"/>
              <w:jc w:val="left"/>
            </w:pPr>
            <w:r>
              <w:rPr>
                <w:b/>
                <w:bCs/>
              </w:rPr>
              <w:t xml:space="preserve">Dairy</w:t>
            </w:r>
          </w:p>
        </w:tc>
        <w:tc>
          <w:tcPr/>
          <w:p>
            <w:pPr>
              <w:pStyle w:val="Compact"/>
              <w:jc w:val="left"/>
            </w:pPr>
            <w:r>
              <w:t xml:space="preserve">30–40</w:t>
            </w:r>
          </w:p>
        </w:tc>
        <w:tc>
          <w:tcPr/>
          <w:p>
            <w:pPr>
              <w:pStyle w:val="Compact"/>
              <w:jc w:val="left"/>
            </w:pPr>
            <w:r>
              <w:t xml:space="preserve">3–6</w:t>
            </w:r>
          </w:p>
        </w:tc>
        <w:tc>
          <w:tcPr/>
          <w:p>
            <w:pPr>
              <w:pStyle w:val="Compact"/>
              <w:jc w:val="left"/>
            </w:pPr>
            <w:r>
              <w:t xml:space="preserve">Low-fat options; watch for added sugars</w:t>
            </w:r>
          </w:p>
        </w:tc>
      </w:tr>
      <w:tr>
        <w:tc>
          <w:tcPr/>
          <w:p>
            <w:pPr>
              <w:pStyle w:val="Compact"/>
              <w:jc w:val="left"/>
            </w:pPr>
            <w:r>
              <w:rPr>
                <w:b/>
                <w:bCs/>
              </w:rPr>
              <w:t xml:space="preserve">Refined grains, white rice</w:t>
            </w:r>
          </w:p>
        </w:tc>
        <w:tc>
          <w:tcPr/>
          <w:p>
            <w:pPr>
              <w:pStyle w:val="Compact"/>
              <w:jc w:val="left"/>
            </w:pPr>
            <w:r>
              <w:t xml:space="preserve">70–90</w:t>
            </w:r>
          </w:p>
        </w:tc>
        <w:tc>
          <w:tcPr/>
          <w:p>
            <w:pPr>
              <w:pStyle w:val="Compact"/>
              <w:jc w:val="left"/>
            </w:pPr>
            <w:r>
              <w:t xml:space="preserve">20–30</w:t>
            </w:r>
          </w:p>
        </w:tc>
        <w:tc>
          <w:tcPr/>
          <w:p>
            <w:pPr>
              <w:pStyle w:val="Compact"/>
              <w:jc w:val="left"/>
            </w:pPr>
            <w:r>
              <w:t xml:space="preserve">Minimize; substitute with lower GI alternatives</w:t>
            </w:r>
          </w:p>
        </w:tc>
      </w:tr>
      <w:tr>
        <w:tc>
          <w:tcPr/>
          <w:p>
            <w:pPr>
              <w:pStyle w:val="Compact"/>
              <w:jc w:val="left"/>
            </w:pPr>
            <w:r>
              <w:rPr>
                <w:b/>
                <w:bCs/>
              </w:rPr>
              <w:t xml:space="preserve">Sugar-sweetened beverages</w:t>
            </w:r>
          </w:p>
        </w:tc>
        <w:tc>
          <w:tcPr/>
          <w:p>
            <w:pPr>
              <w:pStyle w:val="Compact"/>
              <w:jc w:val="left"/>
            </w:pPr>
            <w:r>
              <w:t xml:space="preserve">60–80</w:t>
            </w:r>
          </w:p>
        </w:tc>
        <w:tc>
          <w:tcPr/>
          <w:p>
            <w:pPr>
              <w:pStyle w:val="Compact"/>
              <w:jc w:val="left"/>
            </w:pPr>
            <w:r>
              <w:t xml:space="preserve">15–25 per cup</w:t>
            </w:r>
          </w:p>
        </w:tc>
        <w:tc>
          <w:tcPr/>
          <w:p>
            <w:pPr>
              <w:pStyle w:val="Compact"/>
              <w:jc w:val="left"/>
            </w:pPr>
            <w:r>
              <w:rPr>
                <w:b/>
                <w:bCs/>
              </w:rPr>
              <w:t xml:space="preserve">Avoid entirely</w:t>
            </w:r>
            <w:r>
              <w:t xml:space="preserve">; most rapidly absorbed glucose</w:t>
            </w:r>
          </w:p>
        </w:tc>
      </w:tr>
    </w:tbl>
    <w:p>
      <w:pPr>
        <w:pStyle w:val="a0"/>
      </w:pPr>
      <w:r>
        <w:rPr>
          <w:b/>
          <w:bCs/>
        </w:rPr>
        <w:t xml:space="preserve">Practical glycemic management emphasizes</w:t>
      </w:r>
      <w:r>
        <w:t xml:space="preserve">: replacing high-GI carbohydrates with legumes, intact whole grains, and non-starchy vegetables;</w:t>
      </w:r>
      <w:r>
        <w:t xml:space="preserve"> </w:t>
      </w:r>
      <w:r>
        <w:rPr>
          <w:b/>
          <w:bCs/>
        </w:rPr>
        <w:t xml:space="preserve">always combining carbohydrate with protein, fat, or fiber</w:t>
      </w:r>
      <w:r>
        <w:t xml:space="preserve"> </w:t>
      </w:r>
      <w:r>
        <w:t xml:space="preserve">to slow absorption;</w:t>
      </w:r>
      <w:r>
        <w:t xml:space="preserve"> </w:t>
      </w:r>
      <w:r>
        <w:rPr>
          <w:b/>
          <w:bCs/>
        </w:rPr>
        <w:t xml:space="preserve">avoiding sugar-sweetened beverages</w:t>
      </w:r>
      <w:r>
        <w:t xml:space="preserve"> </w:t>
      </w:r>
      <w:r>
        <w:t xml:space="preserve">as the most rapidly absorbed glucose source; and</w:t>
      </w:r>
      <w:r>
        <w:t xml:space="preserve"> </w:t>
      </w:r>
      <w:r>
        <w:rPr>
          <w:b/>
          <w:bCs/>
        </w:rPr>
        <w:t xml:space="preserve">considering individual glycemic responses</w:t>
      </w:r>
      <w:r>
        <w:t xml:space="preserve">, which vary substantially between individuals for identical foods.</w:t>
      </w:r>
    </w:p>
    <w:bookmarkEnd w:id="125"/>
    <w:bookmarkStart w:id="126" w:name="X1eecaa2e69a27c285d5ecfd3df69444bcc30ded"/>
    <w:p>
      <w:pPr>
        <w:pStyle w:val="4"/>
      </w:pPr>
      <w:r>
        <w:t xml:space="preserve">5.1.2 Mediterranean Diet as Therapeutic Intervention</w:t>
      </w:r>
    </w:p>
    <w:p>
      <w:pPr>
        <w:pStyle w:val="FirstParagraph"/>
      </w:pPr>
      <w:r>
        <w:t xml:space="preserve">The</w:t>
      </w:r>
      <w:r>
        <w:t xml:space="preserve"> </w:t>
      </w:r>
      <w:r>
        <w:rPr>
          <w:b/>
          <w:bCs/>
        </w:rPr>
        <w:t xml:space="preserve">Mediterranean diet demonstrates particular efficacy for type 2 diabetes prevention and management</w:t>
      </w:r>
      <w:r>
        <w:t xml:space="preserve">, with</w:t>
      </w:r>
      <w:r>
        <w:t xml:space="preserve"> </w:t>
      </w:r>
      <w:r>
        <w:rPr>
          <w:b/>
          <w:bCs/>
        </w:rPr>
        <w:t xml:space="preserve">PREDIMED substudies showing 30% reduction in diabetes incidence</w:t>
      </w:r>
      <w:r>
        <w:t xml:space="preserve"> </w:t>
      </w:r>
      <w:r>
        <w:t xml:space="preserve">among high-risk individuals and</w:t>
      </w:r>
      <w:r>
        <w:t xml:space="preserve"> </w:t>
      </w:r>
      <w:r>
        <w:rPr>
          <w:b/>
          <w:bCs/>
        </w:rPr>
        <w:t xml:space="preserve">improved glycemic control in established diabetes</w:t>
      </w:r>
      <w:r>
        <w:t xml:space="preserve">. Mechanisms include:</w:t>
      </w:r>
      <w:r>
        <w:t xml:space="preserve"> </w:t>
      </w:r>
      <w:r>
        <w:rPr>
          <w:b/>
          <w:bCs/>
        </w:rPr>
        <w:t xml:space="preserve">high monounsaturated fat improving insulin sensitivity</w:t>
      </w:r>
      <w:r>
        <w:t xml:space="preserve">;</w:t>
      </w:r>
      <w:r>
        <w:t xml:space="preserve"> </w:t>
      </w:r>
      <w:r>
        <w:rPr>
          <w:b/>
          <w:bCs/>
        </w:rPr>
        <w:t xml:space="preserve">fiber slowing glucose absorption</w:t>
      </w:r>
      <w:r>
        <w:t xml:space="preserve">;</w:t>
      </w:r>
      <w:r>
        <w:t xml:space="preserve"> </w:t>
      </w:r>
      <w:r>
        <w:rPr>
          <w:b/>
          <w:bCs/>
        </w:rPr>
        <w:t xml:space="preserve">polyphenols enhancing insulin secretion and reducing inflammation</w:t>
      </w:r>
      <w:r>
        <w:t xml:space="preserve">; and</w:t>
      </w:r>
      <w:r>
        <w:t xml:space="preserve"> </w:t>
      </w:r>
      <w:r>
        <w:rPr>
          <w:b/>
          <w:bCs/>
        </w:rPr>
        <w:t xml:space="preserve">overall dietary pattern supporting weight management</w:t>
      </w:r>
      <w:r>
        <w:t xml:space="preserve">. The</w:t>
      </w:r>
      <w:r>
        <w:t xml:space="preserve"> </w:t>
      </w:r>
      <w:r>
        <w:rPr>
          <w:b/>
          <w:bCs/>
        </w:rPr>
        <w:t xml:space="preserve">high fat content (35–40% calories) does not impair glycemic control</w:t>
      </w:r>
      <w:r>
        <w:t xml:space="preserve"> </w:t>
      </w:r>
      <w:r>
        <w:t xml:space="preserve">when predominantly unsaturated, challenging earlier low-fat dogma for diabetes management.</w:t>
      </w:r>
    </w:p>
    <w:bookmarkEnd w:id="126"/>
    <w:bookmarkStart w:id="127" w:name="Xb46452667c333de30145c4df84a6e4dcef77360"/>
    <w:p>
      <w:pPr>
        <w:pStyle w:val="4"/>
      </w:pPr>
      <w:r>
        <w:t xml:space="preserve">5.1.3 Low-Carbohydrate Approaches: Short-Term Glycemic Control</w:t>
      </w:r>
    </w:p>
    <w:p>
      <w:pPr>
        <w:pStyle w:val="FirstParagraph"/>
      </w:pPr>
      <w:r>
        <w:rPr>
          <w:b/>
          <w:bCs/>
        </w:rPr>
        <w:t xml:space="preserve">Very low-carbohydrate and ketogenic diets produce rapid and substantial improvements in glycemic control</w:t>
      </w:r>
      <w:r>
        <w:t xml:space="preserve">, with</w:t>
      </w:r>
      <w:r>
        <w:t xml:space="preserve"> </w:t>
      </w:r>
      <w:r>
        <w:rPr>
          <w:b/>
          <w:bCs/>
        </w:rPr>
        <w:t xml:space="preserve">HbA1c reductions of 1.0–2.0% and frequent medication reduction or elimination</w:t>
      </w:r>
      <w:r>
        <w:t xml:space="preserve"> </w:t>
      </w:r>
      <w:r>
        <w:t xml:space="preserve">in type 2 diabetes. These effects are</w:t>
      </w:r>
      <w:r>
        <w:t xml:space="preserve"> </w:t>
      </w:r>
      <w:r>
        <w:rPr>
          <w:b/>
          <w:bCs/>
        </w:rPr>
        <w:t xml:space="preserve">attributable to reduced glucose availability, improved hepatic insulin sensitivity, and potential beta-cell</w:t>
      </w:r>
      <w:r>
        <w:rPr>
          <w:b/>
          <w:bCs/>
        </w:rPr>
        <w:t xml:space="preserve"> </w:t>
      </w:r>
      <w:r>
        <w:rPr>
          <w:b/>
          <w:bCs/>
        </w:rPr>
        <w:t xml:space="preserve">“</w:t>
      </w:r>
      <w:r>
        <w:rPr>
          <w:b/>
          <w:bCs/>
        </w:rPr>
        <w:t xml:space="preserve">rest</w:t>
      </w:r>
      <w:r>
        <w:rPr>
          <w:b/>
          <w:bCs/>
        </w:rPr>
        <w:t xml:space="preserve">”</w:t>
      </w:r>
      <w:r>
        <w:t xml:space="preserve"> </w:t>
      </w:r>
      <w:r>
        <w:t xml:space="preserve">from reduced secretory demand. However,</w:t>
      </w:r>
      <w:r>
        <w:t xml:space="preserve"> </w:t>
      </w:r>
      <w:r>
        <w:rPr>
          <w:b/>
          <w:bCs/>
        </w:rPr>
        <w:t xml:space="preserve">long-term sustainability remains challenging</w:t>
      </w:r>
      <w:r>
        <w:t xml:space="preserve">, and</w:t>
      </w:r>
      <w:r>
        <w:t xml:space="preserve"> </w:t>
      </w:r>
      <w:r>
        <w:rPr>
          <w:b/>
          <w:bCs/>
        </w:rPr>
        <w:t xml:space="preserve">reintroduction of carbohydrates requires careful management</w:t>
      </w:r>
      <w:r>
        <w:t xml:space="preserve"> </w:t>
      </w:r>
      <w:r>
        <w:t xml:space="preserve">to prevent rapid glycemic deterioration. For individuals choosing this approach,</w:t>
      </w:r>
      <w:r>
        <w:t xml:space="preserve"> </w:t>
      </w:r>
      <w:r>
        <w:rPr>
          <w:b/>
          <w:bCs/>
        </w:rPr>
        <w:t xml:space="preserve">medical supervision is essential</w:t>
      </w:r>
      <w:r>
        <w:t xml:space="preserve"> </w:t>
      </w:r>
      <w:r>
        <w:t xml:space="preserve">for medication adjustment and monitoring of lipid profile, renal function, and electrolytes.</w:t>
      </w:r>
    </w:p>
    <w:bookmarkEnd w:id="127"/>
    <w:bookmarkStart w:id="128" w:name="X2baf61596c4176d3c4a6ebbb889092f4c8828f5"/>
    <w:p>
      <w:pPr>
        <w:pStyle w:val="4"/>
      </w:pPr>
      <w:r>
        <w:t xml:space="preserve">5.1.4 Fiber and Whole Grain Benefits for Insulin Sensitivity</w:t>
      </w:r>
    </w:p>
    <w:p>
      <w:pPr>
        <w:pStyle w:val="FirstParagraph"/>
      </w:pPr>
      <w:r>
        <w:rPr>
          <w:b/>
          <w:bCs/>
        </w:rPr>
        <w:t xml:space="preserve">Dietary fiber, particularly viscous soluble fiber (beta-glucans, psyllium, guar gum), improves glycemic control through multiple mechanisms</w:t>
      </w:r>
      <w:r>
        <w:t xml:space="preserve">: delayed gastric emptying; reduced intestinal glucose absorption; increased incretin hormone secretion (GLP-1, GIP); and fermentation products (short-chain fatty acids) improving hepatic and peripheral insulin sensitivity.</w:t>
      </w:r>
      <w:r>
        <w:t xml:space="preserve"> </w:t>
      </w:r>
      <w:r>
        <w:rPr>
          <w:b/>
          <w:bCs/>
        </w:rPr>
        <w:t xml:space="preserve">Meta-analyses demonstrate that each 10 g increment in daily fiber intake associates with 0.3–0.5% HbA1c reduction and decreased all-cause mortality in diabetes</w:t>
      </w:r>
      <w:r>
        <w:t xml:space="preserve">. Whole grains provide fiber within a food matrix that may offer additional benefits beyond isolated fiber supplements, including magnesium, chromium, and unique phytochemicals.</w:t>
      </w:r>
    </w:p>
    <w:bookmarkEnd w:id="128"/>
    <w:bookmarkEnd w:id="129"/>
    <w:bookmarkStart w:id="134" w:name="cardiovascular-disease"/>
    <w:p>
      <w:pPr>
        <w:pStyle w:val="3"/>
      </w:pPr>
      <w:r>
        <w:t xml:space="preserve">5.2 Cardiovascular Disease</w:t>
      </w:r>
    </w:p>
    <w:bookmarkStart w:id="130" w:name="X0293caecd32384a0faf181c3e1c472d6cea320d"/>
    <w:p>
      <w:pPr>
        <w:pStyle w:val="4"/>
      </w:pPr>
      <w:r>
        <w:t xml:space="preserve">5.2.1 Saturated Fat Reduction and Replacement Strategies</w:t>
      </w:r>
    </w:p>
    <w:p>
      <w:pPr>
        <w:pStyle w:val="FirstParagraph"/>
      </w:pPr>
      <w:r>
        <w:rPr>
          <w:b/>
          <w:bCs/>
        </w:rPr>
        <w:t xml:space="preserve">Cardiovascular disease prevention through dietary modification has evolved from simple saturated fat reduction to sophisticated replacement strategies</w:t>
      </w:r>
      <w:r>
        <w:t xml:space="preserve">:</w:t>
      </w:r>
    </w:p>
    <w:tbl>
      <w:tblPr>
        <w:tblStyle w:val="Table"/>
        <w:tblW w:type="pct" w:w="5000"/>
        <w:jc w:val="left"/>
        <w:tblLayout w:type="fixed"/>
        <w:tblLook w:firstRow="1" w:lastRow="0" w:firstColumn="0" w:lastColumn="0" w:noHBand="0" w:noVBand="0" w:val="0020"/>
      </w:tblPr>
      <w:tblGrid>
        <w:gridCol w:w="1956"/>
        <w:gridCol w:w="1770"/>
        <w:gridCol w:w="1397"/>
        <w:gridCol w:w="2795"/>
      </w:tblGrid>
      <w:tr>
        <w:trPr>
          <w:tblHeader w:val="on"/>
        </w:trPr>
        <w:tc>
          <w:tcPr/>
          <w:p>
            <w:pPr>
              <w:pStyle w:val="Compact"/>
              <w:jc w:val="left"/>
            </w:pPr>
            <w:r>
              <w:t xml:space="preserve">Saturated Fat Source</w:t>
            </w:r>
          </w:p>
        </w:tc>
        <w:tc>
          <w:tcPr/>
          <w:p>
            <w:pPr>
              <w:pStyle w:val="Compact"/>
              <w:jc w:val="left"/>
            </w:pPr>
            <w:r>
              <w:t xml:space="preserve">Replacement Option</w:t>
            </w:r>
          </w:p>
        </w:tc>
        <w:tc>
          <w:tcPr/>
          <w:p>
            <w:pPr>
              <w:pStyle w:val="Compact"/>
              <w:jc w:val="left"/>
            </w:pPr>
            <w:r>
              <w:t xml:space="preserve">Effect on LDL-C</w:t>
            </w:r>
          </w:p>
        </w:tc>
        <w:tc>
          <w:tcPr/>
          <w:p>
            <w:pPr>
              <w:pStyle w:val="Compact"/>
              <w:jc w:val="left"/>
            </w:pPr>
            <w:r>
              <w:t xml:space="preserve">Effect on Cardiovascular Risk</w:t>
            </w:r>
          </w:p>
        </w:tc>
      </w:tr>
      <w:tr>
        <w:tc>
          <w:tcPr/>
          <w:p>
            <w:pPr>
              <w:pStyle w:val="Compact"/>
              <w:jc w:val="left"/>
            </w:pPr>
            <w:r>
              <w:t xml:space="preserve">Butter, lard</w:t>
            </w:r>
          </w:p>
        </w:tc>
        <w:tc>
          <w:tcPr/>
          <w:p>
            <w:pPr>
              <w:pStyle w:val="Compact"/>
              <w:jc w:val="left"/>
            </w:pPr>
            <w:r>
              <w:rPr>
                <w:b/>
                <w:bCs/>
              </w:rPr>
              <w:t xml:space="preserve">Extra-virgin olive oil</w:t>
            </w:r>
          </w:p>
        </w:tc>
        <w:tc>
          <w:tcPr/>
          <w:p>
            <w:pPr>
              <w:pStyle w:val="Compact"/>
              <w:jc w:val="left"/>
            </w:pPr>
            <w:r>
              <w:t xml:space="preserve">↓↓</w:t>
            </w:r>
          </w:p>
        </w:tc>
        <w:tc>
          <w:tcPr/>
          <w:p>
            <w:pPr>
              <w:pStyle w:val="Compact"/>
              <w:jc w:val="left"/>
            </w:pPr>
            <w:r>
              <w:t xml:space="preserve">↓↓ Strong evidence</w:t>
            </w:r>
          </w:p>
        </w:tc>
      </w:tr>
      <w:tr>
        <w:tc>
          <w:tcPr/>
          <w:p>
            <w:pPr>
              <w:pStyle w:val="Compact"/>
              <w:jc w:val="left"/>
            </w:pPr>
            <w:r>
              <w:t xml:space="preserve">Fatty red meat</w:t>
            </w:r>
          </w:p>
        </w:tc>
        <w:tc>
          <w:tcPr/>
          <w:p>
            <w:pPr>
              <w:pStyle w:val="Compact"/>
              <w:jc w:val="left"/>
            </w:pPr>
            <w:r>
              <w:rPr>
                <w:b/>
                <w:bCs/>
              </w:rPr>
              <w:t xml:space="preserve">Fish, especially fatty fish</w:t>
            </w:r>
          </w:p>
        </w:tc>
        <w:tc>
          <w:tcPr/>
          <w:p>
            <w:pPr>
              <w:pStyle w:val="Compact"/>
              <w:jc w:val="left"/>
            </w:pPr>
            <w:r>
              <w:t xml:space="preserve">↓ or ↔</w:t>
            </w:r>
          </w:p>
        </w:tc>
        <w:tc>
          <w:tcPr/>
          <w:p>
            <w:pPr>
              <w:pStyle w:val="Compact"/>
              <w:jc w:val="left"/>
            </w:pPr>
            <w:r>
              <w:t xml:space="preserve">↓↓ Strong evidence</w:t>
            </w:r>
          </w:p>
        </w:tc>
      </w:tr>
      <w:tr>
        <w:tc>
          <w:tcPr/>
          <w:p>
            <w:pPr>
              <w:pStyle w:val="Compact"/>
              <w:jc w:val="left"/>
            </w:pPr>
            <w:r>
              <w:t xml:space="preserve">Full-fat dairy</w:t>
            </w:r>
          </w:p>
        </w:tc>
        <w:tc>
          <w:tcPr/>
          <w:p>
            <w:pPr>
              <w:pStyle w:val="Compact"/>
              <w:jc w:val="left"/>
            </w:pPr>
            <w:r>
              <w:rPr>
                <w:b/>
                <w:bCs/>
              </w:rPr>
              <w:t xml:space="preserve">Low-fat dairy or unsaturated alternatives</w:t>
            </w:r>
          </w:p>
        </w:tc>
        <w:tc>
          <w:tcPr/>
          <w:p>
            <w:pPr>
              <w:pStyle w:val="Compact"/>
              <w:jc w:val="left"/>
            </w:pPr>
            <w:r>
              <w:t xml:space="preserve">↓</w:t>
            </w:r>
          </w:p>
        </w:tc>
        <w:tc>
          <w:tcPr/>
          <w:p>
            <w:pPr>
              <w:pStyle w:val="Compact"/>
              <w:jc w:val="left"/>
            </w:pPr>
            <w:r>
              <w:t xml:space="preserve">↓ Moderate evidence</w:t>
            </w:r>
          </w:p>
        </w:tc>
      </w:tr>
      <w:tr>
        <w:tc>
          <w:tcPr/>
          <w:p>
            <w:pPr>
              <w:pStyle w:val="Compact"/>
              <w:jc w:val="left"/>
            </w:pPr>
            <w:r>
              <w:t xml:space="preserve">Coconut oil, palm oil</w:t>
            </w:r>
          </w:p>
        </w:tc>
        <w:tc>
          <w:tcPr/>
          <w:p>
            <w:pPr>
              <w:pStyle w:val="Compact"/>
              <w:jc w:val="left"/>
            </w:pPr>
            <w:r>
              <w:rPr>
                <w:b/>
                <w:bCs/>
              </w:rPr>
              <w:t xml:space="preserve">Liquid vegetable oils (soybean, canola, sunflower)</w:t>
            </w:r>
          </w:p>
        </w:tc>
        <w:tc>
          <w:tcPr/>
          <w:p>
            <w:pPr>
              <w:pStyle w:val="Compact"/>
              <w:jc w:val="left"/>
            </w:pPr>
            <w:r>
              <w:t xml:space="preserve">↓↓</w:t>
            </w:r>
          </w:p>
        </w:tc>
        <w:tc>
          <w:tcPr/>
          <w:p>
            <w:pPr>
              <w:pStyle w:val="Compact"/>
              <w:jc w:val="left"/>
            </w:pPr>
            <w:r>
              <w:t xml:space="preserve">↓↓ Strong evidence</w:t>
            </w:r>
          </w:p>
        </w:tc>
      </w:tr>
      <w:tr>
        <w:tc>
          <w:tcPr/>
          <w:p>
            <w:pPr>
              <w:pStyle w:val="Compact"/>
              <w:jc w:val="left"/>
            </w:pPr>
            <w:r>
              <w:t xml:space="preserve">Processed meats</w:t>
            </w:r>
          </w:p>
        </w:tc>
        <w:tc>
          <w:tcPr/>
          <w:p>
            <w:pPr>
              <w:pStyle w:val="Compact"/>
              <w:jc w:val="left"/>
            </w:pPr>
            <w:r>
              <w:rPr>
                <w:b/>
                <w:bCs/>
              </w:rPr>
              <w:t xml:space="preserve">Legumes, nuts, poultry</w:t>
            </w:r>
          </w:p>
        </w:tc>
        <w:tc>
          <w:tcPr/>
          <w:p>
            <w:pPr>
              <w:pStyle w:val="Compact"/>
              <w:jc w:val="left"/>
            </w:pPr>
            <w:r>
              <w:t xml:space="preserve">↓↓</w:t>
            </w:r>
          </w:p>
        </w:tc>
        <w:tc>
          <w:tcPr/>
          <w:p>
            <w:pPr>
              <w:pStyle w:val="Compact"/>
              <w:jc w:val="left"/>
            </w:pPr>
            <w:r>
              <w:t xml:space="preserve">↓↓ Strong evidence</w:t>
            </w:r>
          </w:p>
        </w:tc>
      </w:tr>
    </w:tbl>
    <w:p>
      <w:pPr>
        <w:pStyle w:val="a0"/>
      </w:pPr>
      <w:r>
        <w:t xml:space="preserve">The</w:t>
      </w:r>
      <w:r>
        <w:t xml:space="preserve"> </w:t>
      </w:r>
      <w:r>
        <w:rPr>
          <w:b/>
          <w:bCs/>
        </w:rPr>
        <w:t xml:space="preserve">PREDIMED and other trials demonstrate that replacing saturated fat with polyunsaturated fat (not carbohydrate) produces maximal cardiovascular benefit</w:t>
      </w:r>
      <w:r>
        <w:t xml:space="preserve">. The</w:t>
      </w:r>
      <w:r>
        <w:t xml:space="preserve"> </w:t>
      </w:r>
      <w:r>
        <w:rPr>
          <w:b/>
          <w:bCs/>
        </w:rPr>
        <w:t xml:space="preserve">type of carbohydrate replacing saturated fat matters</w:t>
      </w:r>
      <w:r>
        <w:t xml:space="preserve">: refined carbohydrates may not reduce and could increase cardiovascular risk, while</w:t>
      </w:r>
      <w:r>
        <w:t xml:space="preserve"> </w:t>
      </w:r>
      <w:r>
        <w:rPr>
          <w:b/>
          <w:bCs/>
        </w:rPr>
        <w:t xml:space="preserve">whole grains reduce risk</w:t>
      </w:r>
      <w:r>
        <w:t xml:space="preserve">. This nuance explains apparent inconsistencies in epidemiological studies and supports</w:t>
      </w:r>
      <w:r>
        <w:t xml:space="preserve"> </w:t>
      </w:r>
      <w:r>
        <w:rPr>
          <w:b/>
          <w:bCs/>
        </w:rPr>
        <w:t xml:space="preserve">food-based rather than nutrient-isolated recommendations</w:t>
      </w:r>
      <w:r>
        <w:t xml:space="preserve">.</w:t>
      </w:r>
    </w:p>
    <w:bookmarkEnd w:id="130"/>
    <w:bookmarkStart w:id="131" w:name="Xe74745f4255cd6c159c4fd84244ef43b291cf6f"/>
    <w:p>
      <w:pPr>
        <w:pStyle w:val="4"/>
      </w:pPr>
      <w:r>
        <w:t xml:space="preserve">5.2.2 Omega-3 Fatty Acids: EPA and DHA from Marine Sources</w:t>
      </w:r>
    </w:p>
    <w:p>
      <w:pPr>
        <w:pStyle w:val="FirstParagraph"/>
      </w:pPr>
      <w:r>
        <w:rPr>
          <w:b/>
          <w:bCs/>
        </w:rPr>
        <w:t xml:space="preserve">Marine omega-3 fatty acids (EPA and DHA) demonstrate consistent benefits for cardiovascular disease secondary prevention</w:t>
      </w:r>
      <w:r>
        <w:t xml:space="preserve">, with</w:t>
      </w:r>
      <w:r>
        <w:t xml:space="preserve"> </w:t>
      </w:r>
      <w:r>
        <w:rPr>
          <w:b/>
          <w:bCs/>
        </w:rPr>
        <w:t xml:space="preserve">meta-analyses showing 8–15% reduction in cardiac death and 15–20% reduction in sudden cardiac death</w:t>
      </w:r>
      <w:r>
        <w:t xml:space="preserve"> </w:t>
      </w:r>
      <w:r>
        <w:t xml:space="preserve">at doses of 1–4 g/day. Mechanisms include:</w:t>
      </w:r>
      <w:r>
        <w:t xml:space="preserve"> </w:t>
      </w:r>
      <w:r>
        <w:rPr>
          <w:b/>
          <w:bCs/>
        </w:rPr>
        <w:t xml:space="preserve">anti-arrhythmic effects stabilizing cardiac myocyte membranes</w:t>
      </w:r>
      <w:r>
        <w:t xml:space="preserve">;</w:t>
      </w:r>
      <w:r>
        <w:t xml:space="preserve"> </w:t>
      </w:r>
      <w:r>
        <w:rPr>
          <w:b/>
          <w:bCs/>
        </w:rPr>
        <w:t xml:space="preserve">triglyceride reduction (20–30% at 4 g/day)</w:t>
      </w:r>
      <w:r>
        <w:t xml:space="preserve">;</w:t>
      </w:r>
      <w:r>
        <w:t xml:space="preserve"> </w:t>
      </w:r>
      <w:r>
        <w:rPr>
          <w:b/>
          <w:bCs/>
        </w:rPr>
        <w:t xml:space="preserve">anti-thrombotic effects</w:t>
      </w:r>
      <w:r>
        <w:t xml:space="preserve">; and</w:t>
      </w:r>
      <w:r>
        <w:t xml:space="preserve"> </w:t>
      </w:r>
      <w:r>
        <w:rPr>
          <w:b/>
          <w:bCs/>
        </w:rPr>
        <w:t xml:space="preserve">resolution of inflammation via specialized pro-resolving mediators (resolvins, protectins, maresins)</w:t>
      </w:r>
      <w:r>
        <w:t xml:space="preserve">. For</w:t>
      </w:r>
      <w:r>
        <w:t xml:space="preserve"> </w:t>
      </w:r>
      <w:r>
        <w:rPr>
          <w:b/>
          <w:bCs/>
        </w:rPr>
        <w:t xml:space="preserve">primary prevention, benefits are less consistent</w:t>
      </w:r>
      <w:r>
        <w:t xml:space="preserve">, with recent large trials (ASCEND, VITAL) showing modest or no benefit in diabetics and general populations, suggesting that</w:t>
      </w:r>
      <w:r>
        <w:t xml:space="preserve"> </w:t>
      </w:r>
      <w:r>
        <w:rPr>
          <w:b/>
          <w:bCs/>
        </w:rPr>
        <w:t xml:space="preserve">omega-3s may be most beneficial in high-risk individuals or those with elevated triglycerides</w:t>
      </w:r>
      <w:r>
        <w:t xml:space="preserve">.</w:t>
      </w:r>
    </w:p>
    <w:bookmarkEnd w:id="131"/>
    <w:bookmarkStart w:id="132" w:name="Xf498d68670d0ea84c58167f3a72f6e21d197ec4"/>
    <w:p>
      <w:pPr>
        <w:pStyle w:val="4"/>
      </w:pPr>
      <w:r>
        <w:t xml:space="preserve">5.2.3 Sodium Restriction and DASH Diet Implementation</w:t>
      </w:r>
    </w:p>
    <w:p>
      <w:pPr>
        <w:pStyle w:val="FirstParagraph"/>
      </w:pPr>
      <w:r>
        <w:rPr>
          <w:b/>
          <w:bCs/>
        </w:rPr>
        <w:t xml:space="preserve">Sodium restriction to 1,500–2,000 mg/day, particularly within the DASH dietary pattern, produces blood pressure reductions of 8–14 mmHg</w:t>
      </w:r>
      <w:r>
        <w:t xml:space="preserve">—comparable to antihypertensive monotherapy. Implementation strategies include:</w:t>
      </w:r>
      <w:r>
        <w:t xml:space="preserve"> </w:t>
      </w:r>
      <w:r>
        <w:rPr>
          <w:b/>
          <w:bCs/>
        </w:rPr>
        <w:t xml:space="preserve">cooking from scratch</w:t>
      </w:r>
      <w:r>
        <w:t xml:space="preserve"> </w:t>
      </w:r>
      <w:r>
        <w:t xml:space="preserve">to control sodium;</w:t>
      </w:r>
      <w:r>
        <w:t xml:space="preserve"> </w:t>
      </w:r>
      <w:r>
        <w:rPr>
          <w:b/>
          <w:bCs/>
        </w:rPr>
        <w:t xml:space="preserve">reading labels</w:t>
      </w:r>
      <w:r>
        <w:t xml:space="preserve"> </w:t>
      </w:r>
      <w:r>
        <w:t xml:space="preserve">and choosing products &lt;140 mg sodium per serving;</w:t>
      </w:r>
      <w:r>
        <w:t xml:space="preserve"> </w:t>
      </w:r>
      <w:r>
        <w:rPr>
          <w:b/>
          <w:bCs/>
        </w:rPr>
        <w:t xml:space="preserve">flavoring with herbs, spices, citrus, vinegar</w:t>
      </w:r>
      <w:r>
        <w:t xml:space="preserve"> </w:t>
      </w:r>
      <w:r>
        <w:t xml:space="preserve">instead of salt;</w:t>
      </w:r>
      <w:r>
        <w:t xml:space="preserve"> </w:t>
      </w:r>
      <w:r>
        <w:rPr>
          <w:b/>
          <w:bCs/>
        </w:rPr>
        <w:t xml:space="preserve">rinsing canned foods</w:t>
      </w:r>
      <w:r>
        <w:t xml:space="preserve"> </w:t>
      </w:r>
      <w:r>
        <w:t xml:space="preserve">to reduce sodium by 30–40%; and</w:t>
      </w:r>
      <w:r>
        <w:t xml:space="preserve"> </w:t>
      </w:r>
      <w:r>
        <w:rPr>
          <w:b/>
          <w:bCs/>
        </w:rPr>
        <w:t xml:space="preserve">gradual adaptation</w:t>
      </w:r>
      <w:r>
        <w:t xml:space="preserve"> </w:t>
      </w:r>
      <w:r>
        <w:t xml:space="preserve">as taste preferences adjust over 2–4 weeks. For</w:t>
      </w:r>
      <w:r>
        <w:t xml:space="preserve"> </w:t>
      </w:r>
      <w:r>
        <w:rPr>
          <w:b/>
          <w:bCs/>
        </w:rPr>
        <w:t xml:space="preserve">heart failure patients, strict sodium restriction (1,500 mg/day) reduces fluid retention, hospitalizations, and improves functional status</w:t>
      </w:r>
      <w:r>
        <w:t xml:space="preserve">.</w:t>
      </w:r>
    </w:p>
    <w:bookmarkEnd w:id="132"/>
    <w:bookmarkStart w:id="133" w:name="X52f171ee3014d12cbd414b4de187a473854a0de"/>
    <w:p>
      <w:pPr>
        <w:pStyle w:val="4"/>
      </w:pPr>
      <w:r>
        <w:t xml:space="preserve">5.2.4 Mediterranean Diet Evidence for Secondary Prevention</w:t>
      </w:r>
    </w:p>
    <w:p>
      <w:pPr>
        <w:pStyle w:val="FirstParagraph"/>
      </w:pPr>
      <w:r>
        <w:t xml:space="preserve">The</w:t>
      </w:r>
      <w:r>
        <w:t xml:space="preserve"> </w:t>
      </w:r>
      <w:r>
        <w:rPr>
          <w:b/>
          <w:bCs/>
        </w:rPr>
        <w:t xml:space="preserve">Lyon Diet Heart Study</w:t>
      </w:r>
      <w:r>
        <w:t xml:space="preserve"> </w:t>
      </w:r>
      <w:r>
        <w:t xml:space="preserve">demonstrated</w:t>
      </w:r>
      <w:r>
        <w:t xml:space="preserve"> </w:t>
      </w:r>
      <w:r>
        <w:rPr>
          <w:b/>
          <w:bCs/>
        </w:rPr>
        <w:t xml:space="preserve">50–70% reduction in recurrent cardiovascular events</w:t>
      </w:r>
      <w:r>
        <w:t xml:space="preserve"> </w:t>
      </w:r>
      <w:r>
        <w:t xml:space="preserve">with Mediterranean diet after myocardial infarction—</w:t>
      </w:r>
      <w:r>
        <w:rPr>
          <w:b/>
          <w:bCs/>
        </w:rPr>
        <w:t xml:space="preserve">greater than statin trials of the era</w:t>
      </w:r>
      <w:r>
        <w:t xml:space="preserve">—prompting investigation of dietary patterns as adjunctive or alternative therapy.</w:t>
      </w:r>
      <w:r>
        <w:t xml:space="preserve"> </w:t>
      </w:r>
      <w:r>
        <w:rPr>
          <w:b/>
          <w:bCs/>
        </w:rPr>
        <w:t xml:space="preserve">PREDIMED confirmed 30% reduction in major cardiovascular events</w:t>
      </w:r>
      <w:r>
        <w:t xml:space="preserve"> </w:t>
      </w:r>
      <w:r>
        <w:t xml:space="preserve">in high-risk primary prevention. The</w:t>
      </w:r>
      <w:r>
        <w:t xml:space="preserve"> </w:t>
      </w:r>
      <w:r>
        <w:rPr>
          <w:b/>
          <w:bCs/>
        </w:rPr>
        <w:t xml:space="preserve">combined evidence supports Mediterranean diet as first-line nutritional therapy for cardiovascular disease</w:t>
      </w:r>
      <w:r>
        <w:t xml:space="preserve">, with benefits additive to pharmacological treatment. Implementation in cardiac rehabilitation programs improves outcomes and patient satisfaction compared to standard low-fat advice.</w:t>
      </w:r>
    </w:p>
    <w:bookmarkEnd w:id="133"/>
    <w:bookmarkEnd w:id="134"/>
    <w:bookmarkStart w:id="138" w:name="gastrointestinal-disorders"/>
    <w:p>
      <w:pPr>
        <w:pStyle w:val="3"/>
      </w:pPr>
      <w:r>
        <w:t xml:space="preserve">5.3 Gastrointestinal Disorders</w:t>
      </w:r>
    </w:p>
    <w:bookmarkStart w:id="135" w:name="X00250cb2576795241c814905eaf688d3a4e6f7b"/>
    <w:p>
      <w:pPr>
        <w:pStyle w:val="4"/>
      </w:pPr>
      <w:r>
        <w:t xml:space="preserve">5.3.1 Celiac Disease: Gluten-Free Diet Management</w:t>
      </w:r>
    </w:p>
    <w:p>
      <w:pPr>
        <w:pStyle w:val="FirstParagraph"/>
      </w:pPr>
      <w:r>
        <w:rPr>
          <w:b/>
          <w:bCs/>
        </w:rPr>
        <w:t xml:space="preserve">Celiac disease—autoimmune enteropathy triggered by gluten proteins in wheat, barley, and rye—requires strict, lifelong gluten-free diet as the only current treatment</w:t>
      </w:r>
      <w:r>
        <w:t xml:space="preserve">. Gluten avoidance allows intestinal mucosal healing, symptom resolution, and prevention of complications (osteoporosis, lymphoma, other autoimmune diseases).</w:t>
      </w:r>
      <w:r>
        <w:t xml:space="preserve"> </w:t>
      </w:r>
      <w:r>
        <w:rPr>
          <w:b/>
          <w:bCs/>
        </w:rPr>
        <w:t xml:space="preserve">Nutritional challenges on gluten-free diet include</w:t>
      </w:r>
      <w:r>
        <w:t xml:space="preserve">: reduced fiber intake; lower B-vitamins, iron, and zinc due to reliance on refined gluten-free grains; higher cost and limited availability; and social/quality of life impacts.</w:t>
      </w:r>
      <w:r>
        <w:t xml:space="preserve"> </w:t>
      </w:r>
      <w:r>
        <w:rPr>
          <w:b/>
          <w:bCs/>
        </w:rPr>
        <w:t xml:space="preserve">Emphasis on naturally gluten-free whole foods</w:t>
      </w:r>
      <w:r>
        <w:t xml:space="preserve"> </w:t>
      </w:r>
      <w:r>
        <w:t xml:space="preserve">(rice, quinoa, buckwheat, legumes, vegetables, fruits, nuts, seeds, unprocessed meats, fish, dairy) rather than</w:t>
      </w:r>
      <w:r>
        <w:t xml:space="preserve"> </w:t>
      </w:r>
      <w:r>
        <w:rPr>
          <w:b/>
          <w:bCs/>
        </w:rPr>
        <w:t xml:space="preserve">processed gluten-free products</w:t>
      </w:r>
      <w:r>
        <w:t xml:space="preserve"> </w:t>
      </w:r>
      <w:r>
        <w:t xml:space="preserve">(often high in sugar, fat, salt, and refined starch) optimizes nutritional adequacy.</w:t>
      </w:r>
    </w:p>
    <w:bookmarkEnd w:id="135"/>
    <w:bookmarkStart w:id="136" w:name="Xefeda942d05a5c0160c5bdd4a05a0e194c7e524"/>
    <w:p>
      <w:pPr>
        <w:pStyle w:val="4"/>
      </w:pPr>
      <w:r>
        <w:t xml:space="preserve">5.3.2 Inflammatory Bowel Disease: Elimination Diets and Nutritional Support</w:t>
      </w:r>
    </w:p>
    <w:p>
      <w:pPr>
        <w:pStyle w:val="FirstParagraph"/>
      </w:pPr>
      <w:r>
        <w:rPr>
          <w:b/>
          <w:bCs/>
        </w:rPr>
        <w:t xml:space="preserve">Crohn’s disease and ulcerative colitis require individualized nutritional approaches</w:t>
      </w:r>
      <w:r>
        <w:t xml:space="preserve">:</w:t>
      </w:r>
    </w:p>
    <w:tbl>
      <w:tblPr>
        <w:tblStyle w:val="Table"/>
        <w:tblW w:type="pct" w:w="5000"/>
        <w:jc w:val="left"/>
        <w:tblLayout w:type="fixed"/>
        <w:tblLook w:firstRow="1" w:lastRow="0" w:firstColumn="0" w:lastColumn="0" w:noHBand="0" w:noVBand="0" w:val="0020"/>
      </w:tblPr>
      <w:tblGrid>
        <w:gridCol w:w="1508"/>
        <w:gridCol w:w="2828"/>
        <w:gridCol w:w="3582"/>
      </w:tblGrid>
      <w:tr>
        <w:trPr>
          <w:tblHeader w:val="on"/>
        </w:trPr>
        <w:tc>
          <w:tcPr/>
          <w:p>
            <w:pPr>
              <w:pStyle w:val="Compact"/>
              <w:jc w:val="left"/>
            </w:pPr>
            <w:r>
              <w:t xml:space="preserve">Aspect</w:t>
            </w:r>
          </w:p>
        </w:tc>
        <w:tc>
          <w:tcPr/>
          <w:p>
            <w:pPr>
              <w:pStyle w:val="Compact"/>
              <w:jc w:val="left"/>
            </w:pPr>
            <w:r>
              <w:t xml:space="preserve">Crohn’s Disease</w:t>
            </w:r>
          </w:p>
        </w:tc>
        <w:tc>
          <w:tcPr/>
          <w:p>
            <w:pPr>
              <w:pStyle w:val="Compact"/>
              <w:jc w:val="left"/>
            </w:pPr>
            <w:r>
              <w:t xml:space="preserve">Ulcerative Colitis</w:t>
            </w:r>
          </w:p>
        </w:tc>
      </w:tr>
      <w:tr>
        <w:tc>
          <w:tcPr/>
          <w:p>
            <w:pPr>
              <w:pStyle w:val="Compact"/>
              <w:jc w:val="left"/>
            </w:pPr>
            <w:r>
              <w:rPr>
                <w:b/>
                <w:bCs/>
              </w:rPr>
              <w:t xml:space="preserve">Malnutrition risk</w:t>
            </w:r>
          </w:p>
        </w:tc>
        <w:tc>
          <w:tcPr/>
          <w:p>
            <w:pPr>
              <w:pStyle w:val="Compact"/>
              <w:jc w:val="left"/>
            </w:pPr>
            <w:r>
              <w:t xml:space="preserve">Higher (small bowel involvement, strictures, fistulae)</w:t>
            </w:r>
          </w:p>
        </w:tc>
        <w:tc>
          <w:tcPr/>
          <w:p>
            <w:pPr>
              <w:pStyle w:val="Compact"/>
              <w:jc w:val="left"/>
            </w:pPr>
            <w:r>
              <w:t xml:space="preserve">Moderate (chronic blood loss, reduced intake)</w:t>
            </w:r>
          </w:p>
        </w:tc>
      </w:tr>
      <w:tr>
        <w:tc>
          <w:tcPr/>
          <w:p>
            <w:pPr>
              <w:pStyle w:val="Compact"/>
              <w:jc w:val="left"/>
            </w:pPr>
            <w:r>
              <w:rPr>
                <w:b/>
                <w:bCs/>
              </w:rPr>
              <w:t xml:space="preserve">Exclusive enteral nutrition</w:t>
            </w:r>
          </w:p>
        </w:tc>
        <w:tc>
          <w:tcPr/>
          <w:p>
            <w:pPr>
              <w:pStyle w:val="Compact"/>
              <w:jc w:val="left"/>
            </w:pPr>
            <w:r>
              <w:t xml:space="preserve">Effective for induction of remission in pediatric Crohn’s; less accepted in adults</w:t>
            </w:r>
          </w:p>
        </w:tc>
        <w:tc>
          <w:tcPr/>
          <w:p>
            <w:pPr>
              <w:pStyle w:val="Compact"/>
              <w:jc w:val="left"/>
            </w:pPr>
            <w:r>
              <w:t xml:space="preserve">Not established</w:t>
            </w:r>
          </w:p>
        </w:tc>
      </w:tr>
      <w:tr>
        <w:tc>
          <w:tcPr/>
          <w:p>
            <w:pPr>
              <w:pStyle w:val="Compact"/>
              <w:jc w:val="left"/>
            </w:pPr>
            <w:r>
              <w:rPr>
                <w:b/>
                <w:bCs/>
              </w:rPr>
              <w:t xml:space="preserve">Specific carbohydrate diet (SCD)</w:t>
            </w:r>
          </w:p>
        </w:tc>
        <w:tc>
          <w:tcPr/>
          <w:p>
            <w:pPr>
              <w:pStyle w:val="Compact"/>
              <w:jc w:val="left"/>
            </w:pPr>
            <w:r>
              <w:t xml:space="preserve">Popular; limited rigorous evidence; may reduce symptoms in some</w:t>
            </w:r>
          </w:p>
        </w:tc>
        <w:tc>
          <w:tcPr/>
          <w:p>
            <w:pPr>
              <w:pStyle w:val="Compact"/>
              <w:jc w:val="left"/>
            </w:pPr>
            <w:r>
              <w:t xml:space="preserve">Less studied</w:t>
            </w:r>
          </w:p>
        </w:tc>
      </w:tr>
      <w:tr>
        <w:tc>
          <w:tcPr/>
          <w:p>
            <w:pPr>
              <w:pStyle w:val="Compact"/>
              <w:jc w:val="left"/>
            </w:pPr>
            <w:r>
              <w:rPr>
                <w:b/>
                <w:bCs/>
              </w:rPr>
              <w:t xml:space="preserve">Low-FODMAP during flares</w:t>
            </w:r>
          </w:p>
        </w:tc>
        <w:tc>
          <w:tcPr/>
          <w:p>
            <w:pPr>
              <w:pStyle w:val="Compact"/>
              <w:jc w:val="left"/>
            </w:pPr>
            <w:r>
              <w:t xml:space="preserve">May reduce symptoms; not for maintenance</w:t>
            </w:r>
          </w:p>
        </w:tc>
        <w:tc>
          <w:tcPr/>
          <w:p>
            <w:pPr>
              <w:pStyle w:val="Compact"/>
              <w:jc w:val="left"/>
            </w:pPr>
            <w:r>
              <w:t xml:space="preserve">May reduce symptoms during active disease</w:t>
            </w:r>
          </w:p>
        </w:tc>
      </w:tr>
      <w:tr>
        <w:tc>
          <w:tcPr/>
          <w:p>
            <w:pPr>
              <w:pStyle w:val="Compact"/>
              <w:jc w:val="left"/>
            </w:pPr>
            <w:r>
              <w:rPr>
                <w:b/>
                <w:bCs/>
              </w:rPr>
              <w:t xml:space="preserve">Micronutrient focus</w:t>
            </w:r>
          </w:p>
        </w:tc>
        <w:tc>
          <w:tcPr/>
          <w:p>
            <w:pPr>
              <w:pStyle w:val="Compact"/>
              <w:jc w:val="left"/>
            </w:pPr>
            <w:r>
              <w:t xml:space="preserve">Iron, B12, vitamin D, zinc, selenium (ileal involvement)</w:t>
            </w:r>
          </w:p>
        </w:tc>
        <w:tc>
          <w:tcPr/>
          <w:p>
            <w:pPr>
              <w:pStyle w:val="Compact"/>
              <w:jc w:val="left"/>
            </w:pPr>
            <w:r>
              <w:t xml:space="preserve">Iron, folate, vitamin D, calcium (steroid use)</w:t>
            </w:r>
          </w:p>
        </w:tc>
      </w:tr>
      <w:tr>
        <w:tc>
          <w:tcPr/>
          <w:p>
            <w:pPr>
              <w:pStyle w:val="Compact"/>
              <w:jc w:val="left"/>
            </w:pPr>
            <w:r>
              <w:rPr>
                <w:b/>
                <w:bCs/>
              </w:rPr>
              <w:t xml:space="preserve">Pre/probiotics</w:t>
            </w:r>
          </w:p>
        </w:tc>
        <w:tc>
          <w:tcPr/>
          <w:p>
            <w:pPr>
              <w:pStyle w:val="Compact"/>
              <w:jc w:val="left"/>
            </w:pPr>
            <w:r>
              <w:t xml:space="preserve">Some evidence for VSL#3 in pouchitis; variable for Crohn’s</w:t>
            </w:r>
          </w:p>
        </w:tc>
        <w:tc>
          <w:tcPr/>
          <w:p>
            <w:pPr>
              <w:pStyle w:val="Compact"/>
              <w:jc w:val="left"/>
            </w:pPr>
            <w:r>
              <w:t xml:space="preserve">VSL#3 may maintain remission in ulcerative colitis</w:t>
            </w:r>
          </w:p>
        </w:tc>
      </w:tr>
    </w:tbl>
    <w:p>
      <w:pPr>
        <w:pStyle w:val="a0"/>
      </w:pPr>
      <w:r>
        <w:rPr>
          <w:b/>
          <w:bCs/>
        </w:rPr>
        <w:t xml:space="preserve">Nutritional support is critical in IBD</w:t>
      </w:r>
      <w:r>
        <w:t xml:space="preserve">: screening for and correcting deficiencies; ensuring adequate energy and protein during flares; considering exclusive enteral nutrition in pediatric Crohn’s; and</w:t>
      </w:r>
      <w:r>
        <w:t xml:space="preserve"> </w:t>
      </w:r>
      <w:r>
        <w:rPr>
          <w:b/>
          <w:bCs/>
        </w:rPr>
        <w:t xml:space="preserve">coordinating with gastroenterology for medical-nutritional integration</w:t>
      </w:r>
      <w:r>
        <w:t xml:space="preserve">.</w:t>
      </w:r>
    </w:p>
    <w:bookmarkEnd w:id="136"/>
    <w:bookmarkStart w:id="137" w:name="X4fb9715ee619e868ac877f2351e4559f92fe1c0"/>
    <w:p>
      <w:pPr>
        <w:pStyle w:val="4"/>
      </w:pPr>
      <w:r>
        <w:t xml:space="preserve">5.3.3 Irritable Bowel Syndrome: Low-FODMAP Approach</w:t>
      </w:r>
    </w:p>
    <w:p>
      <w:pPr>
        <w:pStyle w:val="FirstParagraph"/>
      </w:pPr>
      <w:r>
        <w:t xml:space="preserve">The</w:t>
      </w:r>
      <w:r>
        <w:t xml:space="preserve"> </w:t>
      </w:r>
      <w:r>
        <w:rPr>
          <w:b/>
          <w:bCs/>
        </w:rPr>
        <w:t xml:space="preserve">low-FODMAP diet</w:t>
      </w:r>
      <w:r>
        <w:t xml:space="preserve"> </w:t>
      </w:r>
      <w:r>
        <w:t xml:space="preserve">(fermentable oligosaccharides, disaccharides, monosaccharides, and polyols) has</w:t>
      </w:r>
      <w:r>
        <w:t xml:space="preserve"> </w:t>
      </w:r>
      <w:r>
        <w:rPr>
          <w:b/>
          <w:bCs/>
        </w:rPr>
        <w:t xml:space="preserve">emerged as evidence-based first-line dietary therapy for IBS</w:t>
      </w:r>
      <w:r>
        <w:t xml:space="preserve">, with</w:t>
      </w:r>
      <w:r>
        <w:t xml:space="preserve"> </w:t>
      </w:r>
      <w:r>
        <w:rPr>
          <w:b/>
          <w:bCs/>
        </w:rPr>
        <w:t xml:space="preserve">50–80% of patients reporting symptom improvement</w:t>
      </w:r>
      <w:r>
        <w:t xml:space="preserve"> </w:t>
      </w:r>
      <w:r>
        <w:t xml:space="preserve">in randomized trials. The</w:t>
      </w:r>
      <w:r>
        <w:t xml:space="preserve"> </w:t>
      </w:r>
      <w:r>
        <w:rPr>
          <w:b/>
          <w:bCs/>
        </w:rPr>
        <w:t xml:space="preserve">three-phase protocol</w:t>
      </w:r>
      <w:r>
        <w:t xml:space="preserve"> </w:t>
      </w:r>
      <w:r>
        <w:t xml:space="preserve">involves:</w:t>
      </w:r>
      <w:r>
        <w:t xml:space="preserve"> </w:t>
      </w:r>
      <w:r>
        <w:rPr>
          <w:b/>
          <w:bCs/>
        </w:rPr>
        <w:t xml:space="preserve">strict elimination</w:t>
      </w:r>
      <w:r>
        <w:t xml:space="preserve"> </w:t>
      </w:r>
      <w:r>
        <w:t xml:space="preserve">(2–6 weeks);</w:t>
      </w:r>
      <w:r>
        <w:t xml:space="preserve"> </w:t>
      </w:r>
      <w:r>
        <w:rPr>
          <w:b/>
          <w:bCs/>
        </w:rPr>
        <w:t xml:space="preserve">systematic reintroduction</w:t>
      </w:r>
      <w:r>
        <w:t xml:space="preserve"> </w:t>
      </w:r>
      <w:r>
        <w:t xml:space="preserve">to identify individual triggers; and</w:t>
      </w:r>
      <w:r>
        <w:t xml:space="preserve"> </w:t>
      </w:r>
      <w:r>
        <w:rPr>
          <w:b/>
          <w:bCs/>
        </w:rPr>
        <w:t xml:space="preserve">personalized maintenance</w:t>
      </w:r>
      <w:r>
        <w:t xml:space="preserve"> </w:t>
      </w:r>
      <w:r>
        <w:t xml:space="preserve">with expanded diet.</w:t>
      </w:r>
      <w:r>
        <w:t xml:space="preserve"> </w:t>
      </w:r>
      <w:r>
        <w:rPr>
          <w:b/>
          <w:bCs/>
        </w:rPr>
        <w:t xml:space="preserve">Common triggers include</w:t>
      </w:r>
      <w:r>
        <w:t xml:space="preserve">: onions/garlic (fructans); wheat/rye (fructans); legumes (galacto-oligosaccharides); dairy (lactose); certain fruits (excess fructose); and sugar alcohols (sorbitol, mannitol, xylitol).</w:t>
      </w:r>
      <w:r>
        <w:t xml:space="preserve"> </w:t>
      </w:r>
      <w:r>
        <w:rPr>
          <w:b/>
          <w:bCs/>
        </w:rPr>
        <w:t xml:space="preserve">Long-term strict restriction is not recommended</w:t>
      </w:r>
      <w:r>
        <w:t xml:space="preserve"> </w:t>
      </w:r>
      <w:r>
        <w:t xml:space="preserve">due to potential adverse effects on gut microbiome diversity and nutrient adequacy; the goal is</w:t>
      </w:r>
      <w:r>
        <w:t xml:space="preserve"> </w:t>
      </w:r>
      <w:r>
        <w:rPr>
          <w:b/>
          <w:bCs/>
        </w:rPr>
        <w:t xml:space="preserve">broadest tolerated diet</w:t>
      </w:r>
      <w:r>
        <w:t xml:space="preserve">.</w:t>
      </w:r>
    </w:p>
    <w:bookmarkEnd w:id="137"/>
    <w:bookmarkEnd w:id="138"/>
    <w:bookmarkStart w:id="142" w:name="cancer-prevention-and-support"/>
    <w:p>
      <w:pPr>
        <w:pStyle w:val="3"/>
      </w:pPr>
      <w:r>
        <w:t xml:space="preserve">5.4 Cancer Prevention and Support</w:t>
      </w:r>
    </w:p>
    <w:bookmarkStart w:id="139" w:name="X0b70abc12f9cbc581f35288862d381de6826efb"/>
    <w:p>
      <w:pPr>
        <w:pStyle w:val="4"/>
      </w:pPr>
      <w:r>
        <w:t xml:space="preserve">5.4.1 Dietary Patterns Associated with Reduced Risk</w:t>
      </w:r>
    </w:p>
    <w:p>
      <w:pPr>
        <w:pStyle w:val="FirstParagraph"/>
      </w:pPr>
      <w:r>
        <w:rPr>
          <w:b/>
          <w:bCs/>
        </w:rPr>
        <w:t xml:space="preserve">Consistent evidence supports specific dietary patterns and components for cancer risk reduction</w:t>
      </w:r>
      <w:r>
        <w:t xml:space="preserve">:</w:t>
      </w:r>
    </w:p>
    <w:tbl>
      <w:tblPr>
        <w:tblStyle w:val="Table"/>
        <w:tblW w:type="pct" w:w="5000"/>
        <w:jc w:val="left"/>
        <w:tblLayout w:type="fixed"/>
        <w:tblLook w:firstRow="1" w:lastRow="0" w:firstColumn="0" w:lastColumn="0" w:noHBand="0" w:noVBand="0" w:val="0020"/>
      </w:tblPr>
      <w:tblGrid>
        <w:gridCol w:w="1102"/>
        <w:gridCol w:w="2606"/>
        <w:gridCol w:w="2406"/>
        <w:gridCol w:w="1804"/>
      </w:tblGrid>
      <w:tr>
        <w:trPr>
          <w:tblHeader w:val="on"/>
        </w:trPr>
        <w:tc>
          <w:tcPr/>
          <w:p>
            <w:pPr>
              <w:pStyle w:val="Compact"/>
              <w:jc w:val="left"/>
            </w:pPr>
            <w:r>
              <w:t xml:space="preserve">Cancer Type</w:t>
            </w:r>
          </w:p>
        </w:tc>
        <w:tc>
          <w:tcPr/>
          <w:p>
            <w:pPr>
              <w:pStyle w:val="Compact"/>
              <w:jc w:val="left"/>
            </w:pPr>
            <w:r>
              <w:t xml:space="preserve">Protective Dietary Factors</w:t>
            </w:r>
          </w:p>
        </w:tc>
        <w:tc>
          <w:tcPr/>
          <w:p>
            <w:pPr>
              <w:pStyle w:val="Compact"/>
              <w:jc w:val="left"/>
            </w:pPr>
            <w:r>
              <w:t xml:space="preserve">Risk-Increasing Factors</w:t>
            </w:r>
          </w:p>
        </w:tc>
        <w:tc>
          <w:tcPr/>
          <w:p>
            <w:pPr>
              <w:pStyle w:val="Compact"/>
              <w:jc w:val="left"/>
            </w:pPr>
            <w:r>
              <w:t xml:space="preserve">Evidence Strength</w:t>
            </w:r>
          </w:p>
        </w:tc>
      </w:tr>
      <w:tr>
        <w:tc>
          <w:tcPr/>
          <w:p>
            <w:pPr>
              <w:pStyle w:val="Compact"/>
              <w:jc w:val="left"/>
            </w:pPr>
            <w:r>
              <w:rPr>
                <w:b/>
                <w:bCs/>
              </w:rPr>
              <w:t xml:space="preserve">Colorectal</w:t>
            </w:r>
          </w:p>
        </w:tc>
        <w:tc>
          <w:tcPr/>
          <w:p>
            <w:pPr>
              <w:pStyle w:val="Compact"/>
              <w:jc w:val="left"/>
            </w:pPr>
            <w:r>
              <w:t xml:space="preserve">Fiber, whole grains, dairy, calcium, vitamin D</w:t>
            </w:r>
          </w:p>
        </w:tc>
        <w:tc>
          <w:tcPr/>
          <w:p>
            <w:pPr>
              <w:pStyle w:val="Compact"/>
              <w:jc w:val="left"/>
            </w:pPr>
            <w:r>
              <w:t xml:space="preserve">Red meat, processed meat, alcohol, obesity</w:t>
            </w:r>
          </w:p>
        </w:tc>
        <w:tc>
          <w:tcPr/>
          <w:p>
            <w:pPr>
              <w:pStyle w:val="Compact"/>
              <w:jc w:val="left"/>
            </w:pPr>
            <w:r>
              <w:t xml:space="preserve">Strong</w:t>
            </w:r>
          </w:p>
        </w:tc>
      </w:tr>
      <w:tr>
        <w:tc>
          <w:tcPr/>
          <w:p>
            <w:pPr>
              <w:pStyle w:val="Compact"/>
              <w:jc w:val="left"/>
            </w:pPr>
            <w:r>
              <w:rPr>
                <w:b/>
                <w:bCs/>
              </w:rPr>
              <w:t xml:space="preserve">Breast (postmenopausal)</w:t>
            </w:r>
          </w:p>
        </w:tc>
        <w:tc>
          <w:tcPr/>
          <w:p>
            <w:pPr>
              <w:pStyle w:val="Compact"/>
              <w:jc w:val="left"/>
            </w:pPr>
            <w:r>
              <w:t xml:space="preserve">Vegetables, fruits, fiber, soy (moderate)</w:t>
            </w:r>
          </w:p>
        </w:tc>
        <w:tc>
          <w:tcPr/>
          <w:p>
            <w:pPr>
              <w:pStyle w:val="Compact"/>
              <w:jc w:val="left"/>
            </w:pPr>
            <w:r>
              <w:t xml:space="preserve">Alcohol, adult weight gain, abdominal obesity</w:t>
            </w:r>
          </w:p>
        </w:tc>
        <w:tc>
          <w:tcPr/>
          <w:p>
            <w:pPr>
              <w:pStyle w:val="Compact"/>
              <w:jc w:val="left"/>
            </w:pPr>
            <w:r>
              <w:t xml:space="preserve">Moderate-strong</w:t>
            </w:r>
          </w:p>
        </w:tc>
      </w:tr>
      <w:tr>
        <w:tc>
          <w:tcPr/>
          <w:p>
            <w:pPr>
              <w:pStyle w:val="Compact"/>
              <w:jc w:val="left"/>
            </w:pPr>
            <w:r>
              <w:rPr>
                <w:b/>
                <w:bCs/>
              </w:rPr>
              <w:t xml:space="preserve">Prostate</w:t>
            </w:r>
          </w:p>
        </w:tc>
        <w:tc>
          <w:tcPr/>
          <w:p>
            <w:pPr>
              <w:pStyle w:val="Compact"/>
              <w:jc w:val="left"/>
            </w:pPr>
            <w:r>
              <w:t xml:space="preserve">Tomatoes/lycopene, soy, vegetables</w:t>
            </w:r>
          </w:p>
        </w:tc>
        <w:tc>
          <w:tcPr/>
          <w:p>
            <w:pPr>
              <w:pStyle w:val="Compact"/>
              <w:jc w:val="left"/>
            </w:pPr>
            <w:r>
              <w:t xml:space="preserve">High dairy calcium, processed meat (possible)</w:t>
            </w:r>
          </w:p>
        </w:tc>
        <w:tc>
          <w:tcPr/>
          <w:p>
            <w:pPr>
              <w:pStyle w:val="Compact"/>
              <w:jc w:val="left"/>
            </w:pPr>
            <w:r>
              <w:t xml:space="preserve">Moderate</w:t>
            </w:r>
          </w:p>
        </w:tc>
      </w:tr>
      <w:tr>
        <w:tc>
          <w:tcPr/>
          <w:p>
            <w:pPr>
              <w:pStyle w:val="Compact"/>
              <w:jc w:val="left"/>
            </w:pPr>
            <w:r>
              <w:rPr>
                <w:b/>
                <w:bCs/>
              </w:rPr>
              <w:t xml:space="preserve">Stomach</w:t>
            </w:r>
          </w:p>
        </w:tc>
        <w:tc>
          <w:tcPr/>
          <w:p>
            <w:pPr>
              <w:pStyle w:val="Compact"/>
              <w:jc w:val="left"/>
            </w:pPr>
            <w:r>
              <w:t xml:space="preserve">Vegetables, fruits, salt reduction, H. pylori treatment</w:t>
            </w:r>
          </w:p>
        </w:tc>
        <w:tc>
          <w:tcPr/>
          <w:p>
            <w:pPr>
              <w:pStyle w:val="Compact"/>
              <w:jc w:val="left"/>
            </w:pPr>
            <w:r>
              <w:t xml:space="preserve">Salt-preserved foods, smoked meats, H. pylori</w:t>
            </w:r>
          </w:p>
        </w:tc>
        <w:tc>
          <w:tcPr/>
          <w:p>
            <w:pPr>
              <w:pStyle w:val="Compact"/>
              <w:jc w:val="left"/>
            </w:pPr>
            <w:r>
              <w:t xml:space="preserve">Strong</w:t>
            </w:r>
          </w:p>
        </w:tc>
      </w:tr>
      <w:tr>
        <w:tc>
          <w:tcPr/>
          <w:p>
            <w:pPr>
              <w:pStyle w:val="Compact"/>
              <w:jc w:val="left"/>
            </w:pPr>
            <w:r>
              <w:rPr>
                <w:b/>
                <w:bCs/>
              </w:rPr>
              <w:t xml:space="preserve">Liver</w:t>
            </w:r>
          </w:p>
        </w:tc>
        <w:tc>
          <w:tcPr/>
          <w:p>
            <w:pPr>
              <w:pStyle w:val="Compact"/>
              <w:jc w:val="left"/>
            </w:pPr>
            <w:r>
              <w:t xml:space="preserve">Coffee, vegetables, aflatoxin avoidance</w:t>
            </w:r>
          </w:p>
        </w:tc>
        <w:tc>
          <w:tcPr/>
          <w:p>
            <w:pPr>
              <w:pStyle w:val="Compact"/>
              <w:jc w:val="left"/>
            </w:pPr>
            <w:r>
              <w:t xml:space="preserve">Alcohol, aflatoxin, obesity/diabetes</w:t>
            </w:r>
          </w:p>
        </w:tc>
        <w:tc>
          <w:tcPr/>
          <w:p>
            <w:pPr>
              <w:pStyle w:val="Compact"/>
              <w:jc w:val="left"/>
            </w:pPr>
            <w:r>
              <w:t xml:space="preserve">Strong</w:t>
            </w:r>
          </w:p>
        </w:tc>
      </w:tr>
      <w:tr>
        <w:tc>
          <w:tcPr/>
          <w:p>
            <w:pPr>
              <w:pStyle w:val="Compact"/>
              <w:jc w:val="left"/>
            </w:pPr>
            <w:r>
              <w:rPr>
                <w:b/>
                <w:bCs/>
              </w:rPr>
              <w:t xml:space="preserve">Esophageal</w:t>
            </w:r>
          </w:p>
        </w:tc>
        <w:tc>
          <w:tcPr/>
          <w:p>
            <w:pPr>
              <w:pStyle w:val="Compact"/>
              <w:jc w:val="left"/>
            </w:pPr>
            <w:r>
              <w:t xml:space="preserve">Vegetables, fruits, maintaining healthy weight</w:t>
            </w:r>
          </w:p>
        </w:tc>
        <w:tc>
          <w:tcPr/>
          <w:p>
            <w:pPr>
              <w:pStyle w:val="Compact"/>
              <w:jc w:val="left"/>
            </w:pPr>
            <w:r>
              <w:t xml:space="preserve">Alcohol, very hot beverages, obesity (adenocarcinoma)</w:t>
            </w:r>
          </w:p>
        </w:tc>
        <w:tc>
          <w:tcPr/>
          <w:p>
            <w:pPr>
              <w:pStyle w:val="Compact"/>
              <w:jc w:val="left"/>
            </w:pPr>
            <w:r>
              <w:t xml:space="preserve">Moderate-strong</w:t>
            </w:r>
          </w:p>
        </w:tc>
      </w:tr>
    </w:tbl>
    <w:p>
      <w:pPr>
        <w:pStyle w:val="a0"/>
      </w:pPr>
      <w:r>
        <w:t xml:space="preserve">The</w:t>
      </w:r>
      <w:r>
        <w:t xml:space="preserve"> </w:t>
      </w:r>
      <w:r>
        <w:rPr>
          <w:b/>
          <w:bCs/>
        </w:rPr>
        <w:t xml:space="preserve">World Cancer Research Fund/American Institute for Cancer Research recommendations</w:t>
      </w:r>
      <w:r>
        <w:t xml:space="preserve"> </w:t>
      </w:r>
      <w:r>
        <w:t xml:space="preserve">emphasize:</w:t>
      </w:r>
      <w:r>
        <w:t xml:space="preserve"> </w:t>
      </w:r>
      <w:r>
        <w:rPr>
          <w:b/>
          <w:bCs/>
        </w:rPr>
        <w:t xml:space="preserve">maintaining healthy weight; being physically active; eating whole grains, vegetables, fruits, and legumes; limiting</w:t>
      </w:r>
      <w:r>
        <w:rPr>
          <w:b/>
          <w:bCs/>
        </w:rPr>
        <w:t xml:space="preserve"> </w:t>
      </w:r>
      <w:r>
        <w:rPr>
          <w:b/>
          <w:bCs/>
        </w:rPr>
        <w:t xml:space="preserve">“</w:t>
      </w:r>
      <w:r>
        <w:rPr>
          <w:b/>
          <w:bCs/>
        </w:rPr>
        <w:t xml:space="preserve">fast foods</w:t>
      </w:r>
      <w:r>
        <w:rPr>
          <w:b/>
          <w:bCs/>
        </w:rPr>
        <w:t xml:space="preserve">”</w:t>
      </w:r>
      <w:r>
        <w:rPr>
          <w:b/>
          <w:bCs/>
        </w:rPr>
        <w:t xml:space="preserve"> </w:t>
      </w:r>
      <w:r>
        <w:rPr>
          <w:b/>
          <w:bCs/>
        </w:rPr>
        <w:t xml:space="preserve">and processed foods high in fat, starch, or sugar; limiting red and processed meat; limiting sugar-sweetened drinks; and limiting alcohol</w:t>
      </w:r>
      <w:r>
        <w:t xml:space="preserve">.</w:t>
      </w:r>
    </w:p>
    <w:bookmarkEnd w:id="139"/>
    <w:bookmarkStart w:id="140" w:name="X4481d7d72c2e8cbe13f9d0bc4591c0966175467"/>
    <w:p>
      <w:pPr>
        <w:pStyle w:val="4"/>
      </w:pPr>
      <w:r>
        <w:t xml:space="preserve">5.4.2 Body Composition Optimization During Treatment</w:t>
      </w:r>
    </w:p>
    <w:p>
      <w:pPr>
        <w:pStyle w:val="FirstParagraph"/>
      </w:pPr>
      <w:r>
        <w:rPr>
          <w:b/>
          <w:bCs/>
        </w:rPr>
        <w:t xml:space="preserve">Cancer treatment frequently alters body composition through muscle wasting (sarcopenia) and fat gain or loss</w:t>
      </w:r>
      <w:r>
        <w:t xml:space="preserve">, with</w:t>
      </w:r>
      <w:r>
        <w:t xml:space="preserve"> </w:t>
      </w:r>
      <w:r>
        <w:rPr>
          <w:b/>
          <w:bCs/>
        </w:rPr>
        <w:t xml:space="preserve">sarcopenic obesity (low muscle, high fat) particularly prognostic for poor outcomes</w:t>
      </w:r>
      <w:r>
        <w:t xml:space="preserve">. Nutritional goals during treatment include:</w:t>
      </w:r>
      <w:r>
        <w:t xml:space="preserve"> </w:t>
      </w:r>
      <w:r>
        <w:rPr>
          <w:b/>
          <w:bCs/>
        </w:rPr>
        <w:t xml:space="preserve">maintaining muscle mass through adequate protein (1.2–1.5 g/kg, higher if malnourished) and resistance exercise</w:t>
      </w:r>
      <w:r>
        <w:t xml:space="preserve">;</w:t>
      </w:r>
      <w:r>
        <w:t xml:space="preserve"> </w:t>
      </w:r>
      <w:r>
        <w:rPr>
          <w:b/>
          <w:bCs/>
        </w:rPr>
        <w:t xml:space="preserve">managing treatment side effects</w:t>
      </w:r>
      <w:r>
        <w:t xml:space="preserve"> </w:t>
      </w:r>
      <w:r>
        <w:t xml:space="preserve">(nausea, taste changes, mucositis, diarrhea) through texture and flavor modifications;</w:t>
      </w:r>
      <w:r>
        <w:t xml:space="preserve"> </w:t>
      </w:r>
      <w:r>
        <w:rPr>
          <w:b/>
          <w:bCs/>
        </w:rPr>
        <w:t xml:space="preserve">preventing weight loss &gt;5%</w:t>
      </w:r>
      <w:r>
        <w:t xml:space="preserve"> </w:t>
      </w:r>
      <w:r>
        <w:t xml:space="preserve">which associates with reduced treatment tolerance and survival; and</w:t>
      </w:r>
      <w:r>
        <w:t xml:space="preserve"> </w:t>
      </w:r>
      <w:r>
        <w:rPr>
          <w:b/>
          <w:bCs/>
        </w:rPr>
        <w:t xml:space="preserve">individualizing based on cancer type, treatment modality, and patient goals</w:t>
      </w:r>
      <w:r>
        <w:t xml:space="preserve">.</w:t>
      </w:r>
      <w:r>
        <w:t xml:space="preserve"> </w:t>
      </w:r>
      <w:r>
        <w:rPr>
          <w:b/>
          <w:bCs/>
        </w:rPr>
        <w:t xml:space="preserve">Referral to oncology dietitian early in treatment course</w:t>
      </w:r>
      <w:r>
        <w:t xml:space="preserve"> </w:t>
      </w:r>
      <w:r>
        <w:t xml:space="preserve">improves outcomes.</w:t>
      </w:r>
    </w:p>
    <w:bookmarkEnd w:id="140"/>
    <w:bookmarkStart w:id="141" w:name="immunonutrition-and-cachexia-prevention"/>
    <w:p>
      <w:pPr>
        <w:pStyle w:val="4"/>
      </w:pPr>
      <w:r>
        <w:t xml:space="preserve">5.4.3 Immunonutrition and Cachexia Prevention</w:t>
      </w:r>
    </w:p>
    <w:p>
      <w:pPr>
        <w:pStyle w:val="FirstParagraph"/>
      </w:pPr>
      <w:r>
        <w:rPr>
          <w:b/>
          <w:bCs/>
        </w:rPr>
        <w:t xml:space="preserve">Cancer cachexia—multifactorial wasting syndrome driven by inflammation, catabolic factors, and anorexia—resists simple nutritional repletion</w:t>
      </w:r>
      <w:r>
        <w:t xml:space="preserve">.</w:t>
      </w:r>
      <w:r>
        <w:t xml:space="preserve"> </w:t>
      </w:r>
      <w:r>
        <w:rPr>
          <w:b/>
          <w:bCs/>
        </w:rPr>
        <w:t xml:space="preserve">Immunonutrition</w:t>
      </w:r>
      <w:r>
        <w:t xml:space="preserve"> </w:t>
      </w:r>
      <w:r>
        <w:t xml:space="preserve">(omega-3 fatty acids, arginine, nucleotides, glutamine) has been studied for surgical and critically ill cancer patients, with</w:t>
      </w:r>
      <w:r>
        <w:t xml:space="preserve"> </w:t>
      </w:r>
      <w:r>
        <w:rPr>
          <w:b/>
          <w:bCs/>
        </w:rPr>
        <w:t xml:space="preserve">some evidence for reduced complications and length of stay</w:t>
      </w:r>
      <w:r>
        <w:t xml:space="preserve"> </w:t>
      </w:r>
      <w:r>
        <w:t xml:space="preserve">but inconsistent effects on cachexia itself.</w:t>
      </w:r>
      <w:r>
        <w:t xml:space="preserve"> </w:t>
      </w:r>
      <w:r>
        <w:rPr>
          <w:b/>
          <w:bCs/>
        </w:rPr>
        <w:t xml:space="preserve">Omega-3 fatty acids (EPA specifically) at 2 g/day may stabilize weight and improve quality of life</w:t>
      </w:r>
      <w:r>
        <w:t xml:space="preserve"> </w:t>
      </w:r>
      <w:r>
        <w:t xml:space="preserve">in advanced cancer with cachexia.</w:t>
      </w:r>
      <w:r>
        <w:t xml:space="preserve"> </w:t>
      </w:r>
      <w:r>
        <w:rPr>
          <w:b/>
          <w:bCs/>
        </w:rPr>
        <w:t xml:space="preserve">Multimodal interventions combining nutritional support, exercise, and anti-inflammatory agents</w:t>
      </w:r>
      <w:r>
        <w:t xml:space="preserve"> </w:t>
      </w:r>
      <w:r>
        <w:t xml:space="preserve">show most promise for cachexia management.</w:t>
      </w:r>
    </w:p>
    <w:bookmarkEnd w:id="141"/>
    <w:bookmarkEnd w:id="142"/>
    <w:bookmarkStart w:id="146" w:name="neurodegenerative-conditions"/>
    <w:p>
      <w:pPr>
        <w:pStyle w:val="3"/>
      </w:pPr>
      <w:r>
        <w:t xml:space="preserve">5.5 Neurodegenerative Conditions</w:t>
      </w:r>
    </w:p>
    <w:bookmarkStart w:id="143" w:name="X21b9ee4156dda4e632f28633e0b6bfda9ed3abd"/>
    <w:p>
      <w:pPr>
        <w:pStyle w:val="4"/>
      </w:pPr>
      <w:r>
        <w:t xml:space="preserve">5.5.1 Mediterranean-DASH Intervention for Neurodegenerative Delay (MIND Diet)</w:t>
      </w:r>
    </w:p>
    <w:p>
      <w:pPr>
        <w:pStyle w:val="FirstParagraph"/>
      </w:pPr>
      <w:r>
        <w:t xml:space="preserve">The</w:t>
      </w:r>
      <w:r>
        <w:t xml:space="preserve"> </w:t>
      </w:r>
      <w:r>
        <w:rPr>
          <w:b/>
          <w:bCs/>
        </w:rPr>
        <w:t xml:space="preserve">MIND diet</w:t>
      </w:r>
      <w:r>
        <w:t xml:space="preserve"> </w:t>
      </w:r>
      <w:r>
        <w:t xml:space="preserve">was specifically developed by</w:t>
      </w:r>
      <w:r>
        <w:t xml:space="preserve"> </w:t>
      </w:r>
      <w:r>
        <w:rPr>
          <w:b/>
          <w:bCs/>
        </w:rPr>
        <w:t xml:space="preserve">Martha Clare Morris and colleagues at Rush University</w:t>
      </w:r>
      <w:r>
        <w:t xml:space="preserve"> </w:t>
      </w:r>
      <w:r>
        <w:t xml:space="preserve">to combine neuroprotective elements of Mediterranean and DASH diets, with</w:t>
      </w:r>
      <w:r>
        <w:t xml:space="preserve"> </w:t>
      </w:r>
      <w:r>
        <w:rPr>
          <w:b/>
          <w:bCs/>
        </w:rPr>
        <w:t xml:space="preserve">emphasis on berries (particularly blueberries and strawberries), green leafy vegetables, nuts, olive oil, whole grains, fish, beans, poultry, and wine</w:t>
      </w:r>
      <w:r>
        <w:t xml:space="preserve">, while limiting red meat, butter/margarine, cheese, pastries/sweets, fried/fast food, and sugar-sweetened beverages.</w:t>
      </w:r>
      <w:r>
        <w:t xml:space="preserve"> </w:t>
      </w:r>
      <w:r>
        <w:rPr>
          <w:b/>
          <w:bCs/>
        </w:rPr>
        <w:t xml:space="preserve">Observational studies demonstrate 35–53% reduction in Alzheimer’s disease risk</w:t>
      </w:r>
      <w:r>
        <w:t xml:space="preserve"> </w:t>
      </w:r>
      <w:r>
        <w:t xml:space="preserve">with high MIND diet adherence, with</w:t>
      </w:r>
      <w:r>
        <w:t xml:space="preserve"> </w:t>
      </w:r>
      <w:r>
        <w:rPr>
          <w:b/>
          <w:bCs/>
        </w:rPr>
        <w:t xml:space="preserve">even moderate adherence showing benefit</w:t>
      </w:r>
      <w:r>
        <w:t xml:space="preserve"> </w:t>
      </w:r>
      <w:r>
        <w:t xml:space="preserve">(unlike Mediterranean and DASH where high adherence was required).</w:t>
      </w:r>
      <w:r>
        <w:t xml:space="preserve"> </w:t>
      </w:r>
      <w:r>
        <w:rPr>
          <w:b/>
          <w:bCs/>
        </w:rPr>
        <w:t xml:space="preserve">Randomized trials are ongoing</w:t>
      </w:r>
      <w:r>
        <w:t xml:space="preserve"> </w:t>
      </w:r>
      <w:r>
        <w:t xml:space="preserve">to confirm these promising observational findings.</w:t>
      </w:r>
    </w:p>
    <w:bookmarkEnd w:id="143"/>
    <w:bookmarkStart w:id="144" w:name="omega-3s-and-cognitive-protection"/>
    <w:p>
      <w:pPr>
        <w:pStyle w:val="4"/>
      </w:pPr>
      <w:r>
        <w:t xml:space="preserve">5.5.2 Omega-3s and Cognitive Protection</w:t>
      </w:r>
    </w:p>
    <w:p>
      <w:pPr>
        <w:pStyle w:val="FirstParagraph"/>
      </w:pPr>
      <w:r>
        <w:rPr>
          <w:b/>
          <w:bCs/>
        </w:rPr>
        <w:t xml:space="preserve">DHA constitutes 30–40% of fatty acids in brain gray matter</w:t>
      </w:r>
      <w:r>
        <w:t xml:space="preserve">, with</w:t>
      </w:r>
      <w:r>
        <w:t xml:space="preserve"> </w:t>
      </w:r>
      <w:r>
        <w:rPr>
          <w:b/>
          <w:bCs/>
        </w:rPr>
        <w:t xml:space="preserve">concentrated presence in synaptic membranes and photoreceptors</w:t>
      </w:r>
      <w:r>
        <w:t xml:space="preserve">.</w:t>
      </w:r>
      <w:r>
        <w:t xml:space="preserve"> </w:t>
      </w:r>
      <w:r>
        <w:rPr>
          <w:b/>
          <w:bCs/>
        </w:rPr>
        <w:t xml:space="preserve">Epidemiological studies consistently associate higher fish consumption and DHA status with reduced cognitive decline and dementia risk</w:t>
      </w:r>
      <w:r>
        <w:t xml:space="preserve">, but</w:t>
      </w:r>
      <w:r>
        <w:t xml:space="preserve"> </w:t>
      </w:r>
      <w:r>
        <w:rPr>
          <w:b/>
          <w:bCs/>
        </w:rPr>
        <w:t xml:space="preserve">randomized trials of DHA supplementation in established cognitive impairment have been largely negative</w:t>
      </w:r>
      <w:r>
        <w:t xml:space="preserve">. This discrepancy may reflect:</w:t>
      </w:r>
      <w:r>
        <w:t xml:space="preserve"> </w:t>
      </w:r>
      <w:r>
        <w:rPr>
          <w:b/>
          <w:bCs/>
        </w:rPr>
        <w:t xml:space="preserve">timing</w:t>
      </w:r>
      <w:r>
        <w:t xml:space="preserve"> </w:t>
      </w:r>
      <w:r>
        <w:t xml:space="preserve">(intervention too late in disease process);</w:t>
      </w:r>
      <w:r>
        <w:t xml:space="preserve"> </w:t>
      </w:r>
      <w:r>
        <w:rPr>
          <w:b/>
          <w:bCs/>
        </w:rPr>
        <w:t xml:space="preserve">dose</w:t>
      </w:r>
      <w:r>
        <w:t xml:space="preserve"> </w:t>
      </w:r>
      <w:r>
        <w:t xml:space="preserve">(insufficient for brain penetration);</w:t>
      </w:r>
      <w:r>
        <w:t xml:space="preserve"> </w:t>
      </w:r>
      <w:r>
        <w:rPr>
          <w:b/>
          <w:bCs/>
        </w:rPr>
        <w:t xml:space="preserve">apolipoprotein E genotype</w:t>
      </w:r>
      <w:r>
        <w:t xml:space="preserve"> </w:t>
      </w:r>
      <w:r>
        <w:t xml:space="preserve">(APOE4 carriers may respond differently); or</w:t>
      </w:r>
      <w:r>
        <w:t xml:space="preserve"> </w:t>
      </w:r>
      <w:r>
        <w:rPr>
          <w:b/>
          <w:bCs/>
        </w:rPr>
        <w:t xml:space="preserve">source</w:t>
      </w:r>
      <w:r>
        <w:t xml:space="preserve"> </w:t>
      </w:r>
      <w:r>
        <w:t xml:space="preserve">(food vs. supplement matrix effects).</w:t>
      </w:r>
      <w:r>
        <w:t xml:space="preserve"> </w:t>
      </w:r>
      <w:r>
        <w:rPr>
          <w:b/>
          <w:bCs/>
        </w:rPr>
        <w:t xml:space="preserve">Current evidence supports dietary fish consumption for cognitive protection, with supplementation less clearly beneficial</w:t>
      </w:r>
      <w:r>
        <w:t xml:space="preserve">.</w:t>
      </w:r>
    </w:p>
    <w:bookmarkEnd w:id="144"/>
    <w:bookmarkStart w:id="145" w:name="Xe9bf7253eaeb36cc49227e0cd68b38605b83def"/>
    <w:p>
      <w:pPr>
        <w:pStyle w:val="4"/>
      </w:pPr>
      <w:r>
        <w:t xml:space="preserve">5.5.3 Antioxidant and Anti-Inflammatory Dietary Components</w:t>
      </w:r>
    </w:p>
    <w:p>
      <w:pPr>
        <w:pStyle w:val="FirstParagraph"/>
      </w:pPr>
      <w:r>
        <w:rPr>
          <w:b/>
          <w:bCs/>
        </w:rPr>
        <w:t xml:space="preserve">Oxidative stress and neuroinflammation contribute to neurodegenerative disease pathogenesis</w:t>
      </w:r>
      <w:r>
        <w:t xml:space="preserve">, prompting investigation of dietary antioxidants and anti-inflammatory compounds:</w:t>
      </w:r>
    </w:p>
    <w:tbl>
      <w:tblPr>
        <w:tblStyle w:val="Table"/>
        <w:tblW w:type="pct" w:w="5000"/>
        <w:jc w:val="left"/>
        <w:tblLayout w:type="fixed"/>
        <w:tblLook w:firstRow="1" w:lastRow="0" w:firstColumn="0" w:lastColumn="0" w:noHBand="0" w:noVBand="0" w:val="0020"/>
      </w:tblPr>
      <w:tblGrid>
        <w:gridCol w:w="1414"/>
        <w:gridCol w:w="1697"/>
        <w:gridCol w:w="2687"/>
        <w:gridCol w:w="2121"/>
      </w:tblGrid>
      <w:tr>
        <w:trPr>
          <w:tblHeader w:val="on"/>
        </w:trPr>
        <w:tc>
          <w:tcPr/>
          <w:p>
            <w:pPr>
              <w:pStyle w:val="Compact"/>
              <w:jc w:val="left"/>
            </w:pPr>
            <w:r>
              <w:t xml:space="preserve">Component</w:t>
            </w:r>
          </w:p>
        </w:tc>
        <w:tc>
          <w:tcPr/>
          <w:p>
            <w:pPr>
              <w:pStyle w:val="Compact"/>
              <w:jc w:val="left"/>
            </w:pPr>
            <w:r>
              <w:t xml:space="preserve">Food Sources</w:t>
            </w:r>
          </w:p>
        </w:tc>
        <w:tc>
          <w:tcPr/>
          <w:p>
            <w:pPr>
              <w:pStyle w:val="Compact"/>
              <w:jc w:val="left"/>
            </w:pPr>
            <w:r>
              <w:t xml:space="preserve">Proposed Mechanisms</w:t>
            </w:r>
          </w:p>
        </w:tc>
        <w:tc>
          <w:tcPr/>
          <w:p>
            <w:pPr>
              <w:pStyle w:val="Compact"/>
              <w:jc w:val="left"/>
            </w:pPr>
            <w:r>
              <w:t xml:space="preserve">Evidence Status</w:t>
            </w:r>
          </w:p>
        </w:tc>
      </w:tr>
      <w:tr>
        <w:tc>
          <w:tcPr/>
          <w:p>
            <w:pPr>
              <w:pStyle w:val="Compact"/>
              <w:jc w:val="left"/>
            </w:pPr>
            <w:r>
              <w:rPr>
                <w:b/>
                <w:bCs/>
              </w:rPr>
              <w:t xml:space="preserve">Flavonoids</w:t>
            </w:r>
            <w:r>
              <w:t xml:space="preserve"> </w:t>
            </w:r>
            <w:r>
              <w:t xml:space="preserve">(anthocyanins, catechins)</w:t>
            </w:r>
          </w:p>
        </w:tc>
        <w:tc>
          <w:tcPr/>
          <w:p>
            <w:pPr>
              <w:pStyle w:val="Compact"/>
              <w:jc w:val="left"/>
            </w:pPr>
            <w:r>
              <w:t xml:space="preserve">Berries, tea, cocoa, citrus</w:t>
            </w:r>
          </w:p>
        </w:tc>
        <w:tc>
          <w:tcPr/>
          <w:p>
            <w:pPr>
              <w:pStyle w:val="Compact"/>
              <w:jc w:val="left"/>
            </w:pPr>
            <w:r>
              <w:t xml:space="preserve">Improved cerebral blood flow; reduced neuroinflammation; enhanced synaptic plasticity</w:t>
            </w:r>
          </w:p>
        </w:tc>
        <w:tc>
          <w:tcPr/>
          <w:p>
            <w:pPr>
              <w:pStyle w:val="Compact"/>
              <w:jc w:val="left"/>
            </w:pPr>
            <w:r>
              <w:t xml:space="preserve">Promising observational; trials ongoing</w:t>
            </w:r>
          </w:p>
        </w:tc>
      </w:tr>
      <w:tr>
        <w:tc>
          <w:tcPr/>
          <w:p>
            <w:pPr>
              <w:pStyle w:val="Compact"/>
              <w:jc w:val="left"/>
            </w:pPr>
            <w:r>
              <w:rPr>
                <w:b/>
                <w:bCs/>
              </w:rPr>
              <w:t xml:space="preserve">Curcumin</w:t>
            </w:r>
          </w:p>
        </w:tc>
        <w:tc>
          <w:tcPr/>
          <w:p>
            <w:pPr>
              <w:pStyle w:val="Compact"/>
              <w:jc w:val="left"/>
            </w:pPr>
            <w:r>
              <w:t xml:space="preserve">Turmeric</w:t>
            </w:r>
          </w:p>
        </w:tc>
        <w:tc>
          <w:tcPr/>
          <w:p>
            <w:pPr>
              <w:pStyle w:val="Compact"/>
              <w:jc w:val="left"/>
            </w:pPr>
            <w:r>
              <w:t xml:space="preserve">Anti-inflammatory; antioxidant; amyloid clearance</w:t>
            </w:r>
          </w:p>
        </w:tc>
        <w:tc>
          <w:tcPr/>
          <w:p>
            <w:pPr>
              <w:pStyle w:val="Compact"/>
              <w:jc w:val="left"/>
            </w:pPr>
            <w:r>
              <w:t xml:space="preserve">Poor bioavailability limits efficacy; formulations improving</w:t>
            </w:r>
          </w:p>
        </w:tc>
      </w:tr>
      <w:tr>
        <w:tc>
          <w:tcPr/>
          <w:p>
            <w:pPr>
              <w:pStyle w:val="Compact"/>
              <w:jc w:val="left"/>
            </w:pPr>
            <w:r>
              <w:rPr>
                <w:b/>
                <w:bCs/>
              </w:rPr>
              <w:t xml:space="preserve">Vitamin E</w:t>
            </w:r>
          </w:p>
        </w:tc>
        <w:tc>
          <w:tcPr/>
          <w:p>
            <w:pPr>
              <w:pStyle w:val="Compact"/>
              <w:jc w:val="left"/>
            </w:pPr>
            <w:r>
              <w:t xml:space="preserve">Nuts, seeds, vegetable oils</w:t>
            </w:r>
          </w:p>
        </w:tc>
        <w:tc>
          <w:tcPr/>
          <w:p>
            <w:pPr>
              <w:pStyle w:val="Compact"/>
              <w:jc w:val="left"/>
            </w:pPr>
            <w:r>
              <w:t xml:space="preserve">Lipid-soluble antioxidant; membrane protection</w:t>
            </w:r>
          </w:p>
        </w:tc>
        <w:tc>
          <w:tcPr/>
          <w:p>
            <w:pPr>
              <w:pStyle w:val="Compact"/>
              <w:jc w:val="left"/>
            </w:pPr>
            <w:r>
              <w:t xml:space="preserve">Mixed trial results; food sources preferred</w:t>
            </w:r>
          </w:p>
        </w:tc>
      </w:tr>
      <w:tr>
        <w:tc>
          <w:tcPr/>
          <w:p>
            <w:pPr>
              <w:pStyle w:val="Compact"/>
              <w:jc w:val="left"/>
            </w:pPr>
            <w:r>
              <w:rPr>
                <w:b/>
                <w:bCs/>
              </w:rPr>
              <w:t xml:space="preserve">Polyphenols</w:t>
            </w:r>
            <w:r>
              <w:t xml:space="preserve"> </w:t>
            </w:r>
            <w:r>
              <w:t xml:space="preserve">(resveratrol, oleocanthal)</w:t>
            </w:r>
          </w:p>
        </w:tc>
        <w:tc>
          <w:tcPr/>
          <w:p>
            <w:pPr>
              <w:pStyle w:val="Compact"/>
              <w:jc w:val="left"/>
            </w:pPr>
            <w:r>
              <w:t xml:space="preserve">Red wine, olive oil</w:t>
            </w:r>
          </w:p>
        </w:tc>
        <w:tc>
          <w:tcPr/>
          <w:p>
            <w:pPr>
              <w:pStyle w:val="Compact"/>
              <w:jc w:val="left"/>
            </w:pPr>
            <w:r>
              <w:t xml:space="preserve">SIRT1 activation; anti-inflammatory; autophagy enhancement</w:t>
            </w:r>
          </w:p>
        </w:tc>
        <w:tc>
          <w:tcPr/>
          <w:p>
            <w:pPr>
              <w:pStyle w:val="Compact"/>
              <w:jc w:val="left"/>
            </w:pPr>
            <w:r>
              <w:t xml:space="preserve">Resveratrol bioavailability limited; oleocanthal promising</w:t>
            </w:r>
          </w:p>
        </w:tc>
      </w:tr>
      <w:tr>
        <w:tc>
          <w:tcPr/>
          <w:p>
            <w:pPr>
              <w:pStyle w:val="Compact"/>
              <w:jc w:val="left"/>
            </w:pPr>
            <w:r>
              <w:rPr>
                <w:b/>
                <w:bCs/>
              </w:rPr>
              <w:t xml:space="preserve">Caffeine</w:t>
            </w:r>
          </w:p>
        </w:tc>
        <w:tc>
          <w:tcPr/>
          <w:p>
            <w:pPr>
              <w:pStyle w:val="Compact"/>
              <w:jc w:val="left"/>
            </w:pPr>
            <w:r>
              <w:t xml:space="preserve">Coffee, tea</w:t>
            </w:r>
          </w:p>
        </w:tc>
        <w:tc>
          <w:tcPr/>
          <w:p>
            <w:pPr>
              <w:pStyle w:val="Compact"/>
              <w:jc w:val="left"/>
            </w:pPr>
            <w:r>
              <w:t xml:space="preserve">Adenosine receptor antagonism; reduced amyloid burden</w:t>
            </w:r>
          </w:p>
        </w:tc>
        <w:tc>
          <w:tcPr/>
          <w:p>
            <w:pPr>
              <w:pStyle w:val="Compact"/>
              <w:jc w:val="left"/>
            </w:pPr>
            <w:r>
              <w:t xml:space="preserve">Consistent observational protection; moderate trial evidence</w:t>
            </w:r>
          </w:p>
        </w:tc>
      </w:tr>
    </w:tbl>
    <w:p>
      <w:pPr>
        <w:pStyle w:val="a0"/>
      </w:pPr>
      <w:r>
        <w:rPr>
          <w:b/>
          <w:bCs/>
        </w:rPr>
        <w:t xml:space="preserve">No single compound has demonstrated definitive neuroprotection in trials</w:t>
      </w:r>
      <w:r>
        <w:t xml:space="preserve">, supporting</w:t>
      </w:r>
      <w:r>
        <w:t xml:space="preserve"> </w:t>
      </w:r>
      <w:r>
        <w:rPr>
          <w:b/>
          <w:bCs/>
        </w:rPr>
        <w:t xml:space="preserve">whole dietary pattern approaches</w:t>
      </w:r>
      <w:r>
        <w:t xml:space="preserve"> </w:t>
      </w:r>
      <w:r>
        <w:t xml:space="preserve">over supplement-focused strategies.</w:t>
      </w:r>
    </w:p>
    <w:bookmarkEnd w:id="145"/>
    <w:bookmarkEnd w:id="146"/>
    <w:bookmarkEnd w:id="147"/>
    <w:bookmarkStart w:id="166" w:name="X46354878ed3da4050040dd501dbb3b3c1a17769"/>
    <w:p>
      <w:pPr>
        <w:pStyle w:val="2"/>
      </w:pPr>
      <w:r>
        <w:t xml:space="preserve">6. Lifestyle Factors and Dietary Interactions</w:t>
      </w:r>
    </w:p>
    <w:bookmarkStart w:id="153" w:name="physical-activity"/>
    <w:p>
      <w:pPr>
        <w:pStyle w:val="3"/>
      </w:pPr>
      <w:r>
        <w:t xml:space="preserve">6.1 Physical Activity</w:t>
      </w:r>
    </w:p>
    <w:bookmarkStart w:id="148" w:name="energy-expenditure-and-caloric-matching"/>
    <w:p>
      <w:pPr>
        <w:pStyle w:val="4"/>
      </w:pPr>
      <w:r>
        <w:t xml:space="preserve">6.1.1 Energy Expenditure and Caloric Matching</w:t>
      </w:r>
    </w:p>
    <w:p>
      <w:pPr>
        <w:pStyle w:val="FirstParagraph"/>
      </w:pPr>
      <w:r>
        <w:rPr>
          <w:b/>
          <w:bCs/>
        </w:rPr>
        <w:t xml:space="preserve">Physical activity and diet are inextricably linked in energy balance and metabolic health</w:t>
      </w:r>
      <w:r>
        <w:t xml:space="preserve">. Total daily energy expenditure comprises:</w:t>
      </w:r>
      <w:r>
        <w:t xml:space="preserve"> </w:t>
      </w:r>
      <w:r>
        <w:rPr>
          <w:b/>
          <w:bCs/>
        </w:rPr>
        <w:t xml:space="preserve">basal metabolic rate (60–75%)</w:t>
      </w:r>
      <w:r>
        <w:t xml:space="preserve">;</w:t>
      </w:r>
      <w:r>
        <w:t xml:space="preserve"> </w:t>
      </w:r>
      <w:r>
        <w:rPr>
          <w:b/>
          <w:bCs/>
        </w:rPr>
        <w:t xml:space="preserve">thermic effect of food (10%)</w:t>
      </w:r>
      <w:r>
        <w:t xml:space="preserve">; and</w:t>
      </w:r>
      <w:r>
        <w:t xml:space="preserve"> </w:t>
      </w:r>
      <w:r>
        <w:rPr>
          <w:b/>
          <w:bCs/>
        </w:rPr>
        <w:t xml:space="preserve">physical activity (15–30%, highly variable)</w:t>
      </w:r>
      <w:r>
        <w:t xml:space="preserve">. The</w:t>
      </w:r>
      <w:r>
        <w:t xml:space="preserve"> </w:t>
      </w:r>
      <w:r>
        <w:rPr>
          <w:b/>
          <w:bCs/>
        </w:rPr>
        <w:t xml:space="preserve">modern decline in occupational and domestic physical activity</w:t>
      </w:r>
      <w:r>
        <w:t xml:space="preserve"> </w:t>
      </w:r>
      <w:r>
        <w:t xml:space="preserve">has reduced average energy expenditure by</w:t>
      </w:r>
      <w:r>
        <w:t xml:space="preserve"> </w:t>
      </w:r>
      <w:r>
        <w:rPr>
          <w:b/>
          <w:bCs/>
        </w:rPr>
        <w:t xml:space="preserve">100–300 kcal/day</w:t>
      </w:r>
      <w:r>
        <w:t xml:space="preserve">, creating an</w:t>
      </w:r>
      <w:r>
        <w:t xml:space="preserve"> </w:t>
      </w:r>
      <w:r>
        <w:t xml:space="preserve">“</w:t>
      </w:r>
      <w:r>
        <w:t xml:space="preserve">energy gap</w:t>
      </w:r>
      <w:r>
        <w:t xml:space="preserve">”</w:t>
      </w:r>
      <w:r>
        <w:t xml:space="preserve"> </w:t>
      </w:r>
      <w:r>
        <w:t xml:space="preserve">that explains population-level weight gain even without increased intake.</w:t>
      </w:r>
      <w:r>
        <w:t xml:space="preserve"> </w:t>
      </w:r>
      <w:r>
        <w:rPr>
          <w:b/>
          <w:bCs/>
        </w:rPr>
        <w:t xml:space="preserve">Matching caloric intake to activity level</w:t>
      </w:r>
      <w:r>
        <w:t xml:space="preserve">—whether through increased activity or modest dietary restraint—is fundamental for weight maintenance.</w:t>
      </w:r>
    </w:p>
    <w:bookmarkEnd w:id="148"/>
    <w:bookmarkStart w:id="149" w:name="X065bf51c8c3168dfc279746b3327a05e2369f30"/>
    <w:p>
      <w:pPr>
        <w:pStyle w:val="4"/>
      </w:pPr>
      <w:r>
        <w:t xml:space="preserve">6.1.2 Exercise-Induced Appetite Regulation and Compensatory Eating</w:t>
      </w:r>
    </w:p>
    <w:p>
      <w:pPr>
        <w:pStyle w:val="FirstParagraph"/>
      </w:pPr>
      <w:r>
        <w:rPr>
          <w:b/>
          <w:bCs/>
        </w:rPr>
        <w:t xml:space="preserve">Exercise affects appetite regulation complexly</w:t>
      </w:r>
      <w:r>
        <w:t xml:space="preserve">:</w:t>
      </w:r>
      <w:r>
        <w:t xml:space="preserve"> </w:t>
      </w:r>
      <w:r>
        <w:rPr>
          <w:b/>
          <w:bCs/>
        </w:rPr>
        <w:t xml:space="preserve">acute exercise may suppress appetite</w:t>
      </w:r>
      <w:r>
        <w:t xml:space="preserve"> </w:t>
      </w:r>
      <w:r>
        <w:t xml:space="preserve">(via increased GLP-1, PYY, and body temperature);</w:t>
      </w:r>
      <w:r>
        <w:t xml:space="preserve"> </w:t>
      </w:r>
      <w:r>
        <w:rPr>
          <w:b/>
          <w:bCs/>
        </w:rPr>
        <w:t xml:space="preserve">chronic exercise improves appetite sensitivity</w:t>
      </w:r>
      <w:r>
        <w:t xml:space="preserve"> </w:t>
      </w:r>
      <w:r>
        <w:t xml:space="preserve">(better matching of intake to expenditure); but</w:t>
      </w:r>
      <w:r>
        <w:t xml:space="preserve"> </w:t>
      </w:r>
      <w:r>
        <w:rPr>
          <w:b/>
          <w:bCs/>
        </w:rPr>
        <w:t xml:space="preserve">some individuals exhibit</w:t>
      </w:r>
      <w:r>
        <w:rPr>
          <w:b/>
          <w:bCs/>
        </w:rPr>
        <w:t xml:space="preserve"> </w:t>
      </w:r>
      <w:r>
        <w:rPr>
          <w:b/>
          <w:bCs/>
        </w:rPr>
        <w:t xml:space="preserve">“</w:t>
      </w:r>
      <w:r>
        <w:rPr>
          <w:b/>
          <w:bCs/>
        </w:rPr>
        <w:t xml:space="preserve">compensatory eating</w:t>
      </w:r>
      <w:r>
        <w:rPr>
          <w:b/>
          <w:bCs/>
        </w:rPr>
        <w:t xml:space="preserve">”</w:t>
      </w:r>
      <w:r>
        <w:t xml:space="preserve">—increased post-exercise intake that negates energy deficit.</w:t>
      </w:r>
      <w:r>
        <w:t xml:space="preserve"> </w:t>
      </w:r>
      <w:r>
        <w:rPr>
          <w:b/>
          <w:bCs/>
        </w:rPr>
        <w:t xml:space="preserve">High-intensity exercise produces greater appetite suppression</w:t>
      </w:r>
      <w:r>
        <w:t xml:space="preserve"> </w:t>
      </w:r>
      <w:r>
        <w:t xml:space="preserve">than moderate intensity;</w:t>
      </w:r>
      <w:r>
        <w:t xml:space="preserve"> </w:t>
      </w:r>
      <w:r>
        <w:rPr>
          <w:b/>
          <w:bCs/>
        </w:rPr>
        <w:t xml:space="preserve">resistance training may increase hunger</w:t>
      </w:r>
      <w:r>
        <w:t xml:space="preserve"> </w:t>
      </w:r>
      <w:r>
        <w:t xml:space="preserve">due to muscle protein synthesis demands.</w:t>
      </w:r>
      <w:r>
        <w:t xml:space="preserve"> </w:t>
      </w:r>
      <w:r>
        <w:rPr>
          <w:b/>
          <w:bCs/>
        </w:rPr>
        <w:t xml:space="preserve">Individual variability in compensatory responses</w:t>
      </w:r>
      <w:r>
        <w:t xml:space="preserve"> </w:t>
      </w:r>
      <w:r>
        <w:t xml:space="preserve">partly explains why exercise alone produces less weight loss than predicted by energy expenditure calculations.</w:t>
      </w:r>
    </w:p>
    <w:bookmarkEnd w:id="149"/>
    <w:bookmarkStart w:id="150" w:name="X7000eeb475320b03a664a490e549ba56c0e14ad"/>
    <w:p>
      <w:pPr>
        <w:pStyle w:val="4"/>
      </w:pPr>
      <w:r>
        <w:t xml:space="preserve">6.1.3 Protein Timing and Muscle Protein Synthesis</w:t>
      </w:r>
    </w:p>
    <w:p>
      <w:pPr>
        <w:pStyle w:val="FirstParagraph"/>
      </w:pPr>
      <w:r>
        <w:rPr>
          <w:b/>
          <w:bCs/>
        </w:rPr>
        <w:t xml:space="preserve">Resistance exercise stimulates muscle protein synthesis (MPS), which can be optimized by protein intake timing and composition</w:t>
      </w:r>
      <w:r>
        <w:t xml:space="preserve">:</w:t>
      </w:r>
    </w:p>
    <w:tbl>
      <w:tblPr>
        <w:tblStyle w:val="Table"/>
        <w:tblW w:type="pct" w:w="5000"/>
        <w:jc w:val="left"/>
        <w:tblLayout w:type="fixed"/>
        <w:tblLook w:firstRow="1" w:lastRow="0" w:firstColumn="0" w:lastColumn="0" w:noHBand="0" w:noVBand="0" w:val="0020"/>
      </w:tblPr>
      <w:tblGrid>
        <w:gridCol w:w="1863"/>
        <w:gridCol w:w="3494"/>
        <w:gridCol w:w="2562"/>
      </w:tblGrid>
      <w:tr>
        <w:trPr>
          <w:tblHeader w:val="on"/>
        </w:trPr>
        <w:tc>
          <w:tcPr/>
          <w:p>
            <w:pPr>
              <w:pStyle w:val="Compact"/>
              <w:jc w:val="left"/>
            </w:pPr>
            <w:r>
              <w:t xml:space="preserve">Factor</w:t>
            </w:r>
          </w:p>
        </w:tc>
        <w:tc>
          <w:tcPr/>
          <w:p>
            <w:pPr>
              <w:pStyle w:val="Compact"/>
              <w:jc w:val="left"/>
            </w:pPr>
            <w:r>
              <w:t xml:space="preserve">Optimal for MPS</w:t>
            </w:r>
          </w:p>
        </w:tc>
        <w:tc>
          <w:tcPr/>
          <w:p>
            <w:pPr>
              <w:pStyle w:val="Compact"/>
              <w:jc w:val="left"/>
            </w:pPr>
            <w:r>
              <w:t xml:space="preserve">Rationale</w:t>
            </w:r>
          </w:p>
        </w:tc>
      </w:tr>
      <w:tr>
        <w:tc>
          <w:tcPr/>
          <w:p>
            <w:pPr>
              <w:pStyle w:val="Compact"/>
              <w:jc w:val="left"/>
            </w:pPr>
            <w:r>
              <w:rPr>
                <w:b/>
                <w:bCs/>
              </w:rPr>
              <w:t xml:space="preserve">Protein dose</w:t>
            </w:r>
          </w:p>
        </w:tc>
        <w:tc>
          <w:tcPr/>
          <w:p>
            <w:pPr>
              <w:pStyle w:val="Compact"/>
              <w:jc w:val="left"/>
            </w:pPr>
            <w:r>
              <w:t xml:space="preserve">20–40 g per meal (higher for older adults: 30–40 g)</w:t>
            </w:r>
          </w:p>
        </w:tc>
        <w:tc>
          <w:tcPr/>
          <w:p>
            <w:pPr>
              <w:pStyle w:val="Compact"/>
              <w:jc w:val="left"/>
            </w:pPr>
            <w:r>
              <w:t xml:space="preserve">Saturates leucine signaling threshold</w:t>
            </w:r>
          </w:p>
        </w:tc>
      </w:tr>
      <w:tr>
        <w:tc>
          <w:tcPr/>
          <w:p>
            <w:pPr>
              <w:pStyle w:val="Compact"/>
              <w:jc w:val="left"/>
            </w:pPr>
            <w:r>
              <w:rPr>
                <w:b/>
                <w:bCs/>
              </w:rPr>
              <w:t xml:space="preserve">Leucine content</w:t>
            </w:r>
          </w:p>
        </w:tc>
        <w:tc>
          <w:tcPr/>
          <w:p>
            <w:pPr>
              <w:pStyle w:val="Compact"/>
              <w:jc w:val="left"/>
            </w:pPr>
            <w:r>
              <w:t xml:space="preserve">2.5–3.0 g leucine per meal</w:t>
            </w:r>
          </w:p>
        </w:tc>
        <w:tc>
          <w:tcPr/>
          <w:p>
            <w:pPr>
              <w:pStyle w:val="Compact"/>
              <w:jc w:val="left"/>
            </w:pPr>
            <w:r>
              <w:t xml:space="preserve">Primary anabolic trigger for mTOR pathway</w:t>
            </w:r>
          </w:p>
        </w:tc>
      </w:tr>
      <w:tr>
        <w:tc>
          <w:tcPr/>
          <w:p>
            <w:pPr>
              <w:pStyle w:val="Compact"/>
              <w:jc w:val="left"/>
            </w:pPr>
            <w:r>
              <w:rPr>
                <w:b/>
                <w:bCs/>
              </w:rPr>
              <w:t xml:space="preserve">Timing post-exercise</w:t>
            </w:r>
          </w:p>
        </w:tc>
        <w:tc>
          <w:tcPr/>
          <w:p>
            <w:pPr>
              <w:pStyle w:val="Compact"/>
              <w:jc w:val="left"/>
            </w:pPr>
            <w:r>
              <w:t xml:space="preserve">Within 2 hours (anabolic window is wider than previously thought)</w:t>
            </w:r>
          </w:p>
        </w:tc>
        <w:tc>
          <w:tcPr/>
          <w:p>
            <w:pPr>
              <w:pStyle w:val="Compact"/>
              <w:jc w:val="left"/>
            </w:pPr>
            <w:r>
              <w:t xml:space="preserve">Synergy between exercise-induced sensitization and amino acid availability</w:t>
            </w:r>
          </w:p>
        </w:tc>
      </w:tr>
      <w:tr>
        <w:tc>
          <w:tcPr/>
          <w:p>
            <w:pPr>
              <w:pStyle w:val="Compact"/>
              <w:jc w:val="left"/>
            </w:pPr>
            <w:r>
              <w:rPr>
                <w:b/>
                <w:bCs/>
              </w:rPr>
              <w:t xml:space="preserve">Protein source</w:t>
            </w:r>
          </w:p>
        </w:tc>
        <w:tc>
          <w:tcPr/>
          <w:p>
            <w:pPr>
              <w:pStyle w:val="Compact"/>
              <w:jc w:val="left"/>
            </w:pPr>
            <w:r>
              <w:t xml:space="preserve">Whey &gt; casein &gt; soy &gt; plant blends (for rapid MPS); mixed proteins for sustained release</w:t>
            </w:r>
          </w:p>
        </w:tc>
        <w:tc>
          <w:tcPr/>
          <w:p>
            <w:pPr>
              <w:pStyle w:val="Compact"/>
              <w:jc w:val="left"/>
            </w:pPr>
            <w:r>
              <w:t xml:space="preserve">Digestion rate and leucine content determine acute response</w:t>
            </w:r>
          </w:p>
        </w:tc>
      </w:tr>
      <w:tr>
        <w:tc>
          <w:tcPr/>
          <w:p>
            <w:pPr>
              <w:pStyle w:val="Compact"/>
              <w:jc w:val="left"/>
            </w:pPr>
            <w:r>
              <w:rPr>
                <w:b/>
                <w:bCs/>
              </w:rPr>
              <w:t xml:space="preserve">Distribution</w:t>
            </w:r>
          </w:p>
        </w:tc>
        <w:tc>
          <w:tcPr/>
          <w:p>
            <w:pPr>
              <w:pStyle w:val="Compact"/>
              <w:jc w:val="left"/>
            </w:pPr>
            <w:r>
              <w:t xml:space="preserve">Even distribution across 3–5 meals superior to skewed intake</w:t>
            </w:r>
          </w:p>
        </w:tc>
        <w:tc>
          <w:tcPr/>
          <w:p>
            <w:pPr>
              <w:pStyle w:val="Compact"/>
              <w:jc w:val="left"/>
            </w:pPr>
            <w:r>
              <w:t xml:space="preserve">MPS refractory period limits benefit of single large dose</w:t>
            </w:r>
          </w:p>
        </w:tc>
      </w:tr>
    </w:tbl>
    <w:p>
      <w:pPr>
        <w:pStyle w:val="a0"/>
      </w:pPr>
      <w:r>
        <w:t xml:space="preserve">For</w:t>
      </w:r>
      <w:r>
        <w:t xml:space="preserve"> </w:t>
      </w:r>
      <w:r>
        <w:rPr>
          <w:b/>
          <w:bCs/>
        </w:rPr>
        <w:t xml:space="preserve">older adults with anabolic resistance, higher per-meal protein doses (30–40 g) and leucine-enriched sources</w:t>
      </w:r>
      <w:r>
        <w:t xml:space="preserve"> </w:t>
      </w:r>
      <w:r>
        <w:t xml:space="preserve">are particularly important to overcome blunted responsiveness.</w:t>
      </w:r>
    </w:p>
    <w:bookmarkEnd w:id="150"/>
    <w:bookmarkStart w:id="151" w:name="X91e4758f1a278c95d8647fa1169dc03393f7878"/>
    <w:p>
      <w:pPr>
        <w:pStyle w:val="4"/>
      </w:pPr>
      <w:r>
        <w:t xml:space="preserve">6.1.4 Hydration Strategies for Active Individuals</w:t>
      </w:r>
    </w:p>
    <w:p>
      <w:pPr>
        <w:pStyle w:val="FirstParagraph"/>
      </w:pPr>
      <w:r>
        <w:rPr>
          <w:b/>
          <w:bCs/>
        </w:rPr>
        <w:t xml:space="preserve">Exercise hydration requires individualized strategies based on</w:t>
      </w:r>
      <w:r>
        <w:t xml:space="preserve">:</w:t>
      </w:r>
      <w:r>
        <w:t xml:space="preserve"> </w:t>
      </w:r>
      <w:r>
        <w:rPr>
          <w:b/>
          <w:bCs/>
        </w:rPr>
        <w:t xml:space="preserve">sweat rate</w:t>
      </w:r>
      <w:r>
        <w:t xml:space="preserve"> </w:t>
      </w:r>
      <w:r>
        <w:t xml:space="preserve">(variable 0.5–3.0 L/hour);</w:t>
      </w:r>
      <w:r>
        <w:t xml:space="preserve"> </w:t>
      </w:r>
      <w:r>
        <w:rPr>
          <w:b/>
          <w:bCs/>
        </w:rPr>
        <w:t xml:space="preserve">exercise duration and intensity</w:t>
      </w:r>
      <w:r>
        <w:t xml:space="preserve">;</w:t>
      </w:r>
      <w:r>
        <w:t xml:space="preserve"> </w:t>
      </w:r>
      <w:r>
        <w:rPr>
          <w:b/>
          <w:bCs/>
        </w:rPr>
        <w:t xml:space="preserve">environmental conditions</w:t>
      </w:r>
      <w:r>
        <w:t xml:space="preserve">; and</w:t>
      </w:r>
      <w:r>
        <w:t xml:space="preserve"> </w:t>
      </w:r>
      <w:r>
        <w:rPr>
          <w:b/>
          <w:bCs/>
        </w:rPr>
        <w:t xml:space="preserve">sodium concentration of sweat</w:t>
      </w:r>
      <w:r>
        <w:t xml:space="preserve"> </w:t>
      </w:r>
      <w:r>
        <w:t xml:space="preserve">(highly variable, genetically determined).</w:t>
      </w:r>
      <w:r>
        <w:t xml:space="preserve"> </w:t>
      </w:r>
      <w:r>
        <w:rPr>
          <w:b/>
          <w:bCs/>
        </w:rPr>
        <w:t xml:space="preserve">General guidelines</w:t>
      </w:r>
      <w:r>
        <w:t xml:space="preserve">: begin exercise euhydrated;</w:t>
      </w:r>
      <w:r>
        <w:t xml:space="preserve"> </w:t>
      </w:r>
      <w:r>
        <w:rPr>
          <w:b/>
          <w:bCs/>
        </w:rPr>
        <w:t xml:space="preserve">drink to thirst for exercise &lt;1 hour</w:t>
      </w:r>
      <w:r>
        <w:t xml:space="preserve">;</w:t>
      </w:r>
      <w:r>
        <w:t xml:space="preserve"> </w:t>
      </w:r>
      <w:r>
        <w:rPr>
          <w:b/>
          <w:bCs/>
        </w:rPr>
        <w:t xml:space="preserve">planned fluid replacement for longer exercise</w:t>
      </w:r>
      <w:r>
        <w:t xml:space="preserve"> </w:t>
      </w:r>
      <w:r>
        <w:t xml:space="preserve">(400–800 mL/hour, individualized);</w:t>
      </w:r>
      <w:r>
        <w:t xml:space="preserve"> </w:t>
      </w:r>
      <w:r>
        <w:rPr>
          <w:b/>
          <w:bCs/>
        </w:rPr>
        <w:t xml:space="preserve">include sodium (&gt;500 mg/L) for exercise &gt;2 hours or heavy sweaters</w:t>
      </w:r>
      <w:r>
        <w:t xml:space="preserve">; and</w:t>
      </w:r>
      <w:r>
        <w:t xml:space="preserve"> </w:t>
      </w:r>
      <w:r>
        <w:rPr>
          <w:b/>
          <w:bCs/>
        </w:rPr>
        <w:t xml:space="preserve">avoid overdrinking</w:t>
      </w:r>
      <w:r>
        <w:t xml:space="preserve"> </w:t>
      </w:r>
      <w:r>
        <w:t xml:space="preserve">(hyponatremia risk, particularly in slower marathon runners).</w:t>
      </w:r>
      <w:r>
        <w:t xml:space="preserve"> </w:t>
      </w:r>
      <w:r>
        <w:rPr>
          <w:b/>
          <w:bCs/>
        </w:rPr>
        <w:t xml:space="preserve">Pre-exercise urine color (pale yellow) and body weight monitoring</w:t>
      </w:r>
      <w:r>
        <w:t xml:space="preserve"> </w:t>
      </w:r>
      <w:r>
        <w:t xml:space="preserve">(replacing 150% of weight lost post-exercise) provide practical hydration assessment.</w:t>
      </w:r>
    </w:p>
    <w:bookmarkEnd w:id="151"/>
    <w:bookmarkStart w:id="152" w:name="Xa97c9262fb8690c971f1cf129c6b812b2f5f593"/>
    <w:p>
      <w:pPr>
        <w:pStyle w:val="4"/>
      </w:pPr>
      <w:r>
        <w:t xml:space="preserve">6.1.5 Self-Determined Motivation: Physically Active Individuals and Healthier Eating Patterns</w:t>
      </w:r>
    </w:p>
    <w:p>
      <w:pPr>
        <w:pStyle w:val="FirstParagraph"/>
      </w:pPr>
      <w:r>
        <w:rPr>
          <w:b/>
          <w:bCs/>
        </w:rPr>
        <w:t xml:space="preserve">Physical activity and healthy eating cluster together beyond simple</w:t>
      </w:r>
      <w:r>
        <w:rPr>
          <w:b/>
          <w:bCs/>
        </w:rPr>
        <w:t xml:space="preserve"> </w:t>
      </w:r>
      <w:r>
        <w:rPr>
          <w:b/>
          <w:bCs/>
        </w:rPr>
        <w:t xml:space="preserve">“</w:t>
      </w:r>
      <w:r>
        <w:rPr>
          <w:b/>
          <w:bCs/>
        </w:rPr>
        <w:t xml:space="preserve">health consciousness</w:t>
      </w:r>
      <w:r>
        <w:rPr>
          <w:b/>
          <w:bCs/>
        </w:rPr>
        <w:t xml:space="preserve">”</w:t>
      </w:r>
      <w:r>
        <w:t xml:space="preserve">, with</w:t>
      </w:r>
      <w:r>
        <w:t xml:space="preserve"> </w:t>
      </w:r>
      <w:r>
        <w:rPr>
          <w:b/>
          <w:bCs/>
        </w:rPr>
        <w:t xml:space="preserve">self-determination theory providing explanatory framework</w:t>
      </w:r>
      <w:r>
        <w:t xml:space="preserve">.</w:t>
      </w:r>
      <w:r>
        <w:t xml:space="preserve"> </w:t>
      </w:r>
      <w:r>
        <w:rPr>
          <w:b/>
          <w:bCs/>
        </w:rPr>
        <w:t xml:space="preserve">Intrinsically motivated exercisers</w:t>
      </w:r>
      <w:r>
        <w:t xml:space="preserve"> </w:t>
      </w:r>
      <w:r>
        <w:t xml:space="preserve">(enjoyment, competence, autonomy) demonstrate</w:t>
      </w:r>
      <w:r>
        <w:t xml:space="preserve"> </w:t>
      </w:r>
      <w:r>
        <w:rPr>
          <w:b/>
          <w:bCs/>
        </w:rPr>
        <w:t xml:space="preserve">more autonomous motivation for healthy eating</w:t>
      </w:r>
      <w:r>
        <w:t xml:space="preserve">, while</w:t>
      </w:r>
      <w:r>
        <w:t xml:space="preserve"> </w:t>
      </w:r>
      <w:r>
        <w:rPr>
          <w:b/>
          <w:bCs/>
        </w:rPr>
        <w:t xml:space="preserve">extrinsically motivated exercisers</w:t>
      </w:r>
      <w:r>
        <w:t xml:space="preserve"> </w:t>
      </w:r>
      <w:r>
        <w:t xml:space="preserve">(appearance, social pressure) show</w:t>
      </w:r>
      <w:r>
        <w:t xml:space="preserve"> </w:t>
      </w:r>
      <w:r>
        <w:rPr>
          <w:b/>
          <w:bCs/>
        </w:rPr>
        <w:t xml:space="preserve">less consistent dietary patterns</w:t>
      </w:r>
      <w:r>
        <w:t xml:space="preserve">. The</w:t>
      </w:r>
      <w:r>
        <w:t xml:space="preserve"> </w:t>
      </w:r>
      <w:r>
        <w:rPr>
          <w:b/>
          <w:bCs/>
        </w:rPr>
        <w:t xml:space="preserve">psychological skills developed through regular physical activity</w:t>
      </w:r>
      <w:r>
        <w:t xml:space="preserve">—goal-setting, self-monitoring, delayed gratification—</w:t>
      </w:r>
      <w:r>
        <w:rPr>
          <w:b/>
          <w:bCs/>
        </w:rPr>
        <w:t xml:space="preserve">transfer to dietary self-regulation</w:t>
      </w:r>
      <w:r>
        <w:t xml:space="preserve">.</w:t>
      </w:r>
      <w:r>
        <w:t xml:space="preserve"> </w:t>
      </w:r>
      <w:r>
        <w:rPr>
          <w:b/>
          <w:bCs/>
        </w:rPr>
        <w:t xml:space="preserve">Exercise may also shift food preferences</w:t>
      </w:r>
      <w:r>
        <w:t xml:space="preserve"> </w:t>
      </w:r>
      <w:r>
        <w:t xml:space="preserve">toward healthier options through improved interoceptive awareness and reduced stress-driven eating. This</w:t>
      </w:r>
      <w:r>
        <w:t xml:space="preserve"> </w:t>
      </w:r>
      <w:r>
        <w:rPr>
          <w:b/>
          <w:bCs/>
        </w:rPr>
        <w:t xml:space="preserve">motivational synergy suggests integrated lifestyle interventions</w:t>
      </w:r>
      <w:r>
        <w:t xml:space="preserve"> </w:t>
      </w:r>
      <w:r>
        <w:t xml:space="preserve">are more effective than sequential or isolated behavior change approaches.</w:t>
      </w:r>
    </w:p>
    <w:bookmarkEnd w:id="152"/>
    <w:bookmarkEnd w:id="153"/>
    <w:bookmarkStart w:id="157" w:name="sleep-and-circadian-rhythms"/>
    <w:p>
      <w:pPr>
        <w:pStyle w:val="3"/>
      </w:pPr>
      <w:r>
        <w:t xml:space="preserve">6.2 Sleep and Circadian Rhythms</w:t>
      </w:r>
    </w:p>
    <w:bookmarkStart w:id="154" w:name="X96e7ecac75840a9976d9766c025d20a5b0fd0ff"/>
    <w:p>
      <w:pPr>
        <w:pStyle w:val="4"/>
      </w:pPr>
      <w:r>
        <w:t xml:space="preserve">6.2.1 Sleep Duration and Dietary Quality Bidirectional Relationships</w:t>
      </w:r>
    </w:p>
    <w:p>
      <w:pPr>
        <w:pStyle w:val="FirstParagraph"/>
      </w:pPr>
      <w:r>
        <w:rPr>
          <w:b/>
          <w:bCs/>
        </w:rPr>
        <w:t xml:space="preserve">Sleep and nutrition influence each other bidirectionally</w:t>
      </w:r>
      <w:r>
        <w:t xml:space="preserve">:</w:t>
      </w:r>
    </w:p>
    <w:tbl>
      <w:tblPr>
        <w:tblStyle w:val="Table"/>
        <w:tblW w:type="pct" w:w="5000"/>
        <w:jc w:val="left"/>
        <w:tblLayout w:type="fixed"/>
        <w:tblLook w:firstRow="1" w:lastRow="0" w:firstColumn="0" w:lastColumn="0" w:noHBand="0" w:noVBand="0" w:val="0020"/>
      </w:tblPr>
      <w:tblGrid>
        <w:gridCol w:w="2893"/>
        <w:gridCol w:w="1675"/>
        <w:gridCol w:w="3350"/>
      </w:tblGrid>
      <w:tr>
        <w:trPr>
          <w:tblHeader w:val="on"/>
        </w:trPr>
        <w:tc>
          <w:tcPr/>
          <w:p>
            <w:pPr>
              <w:pStyle w:val="Compact"/>
              <w:jc w:val="left"/>
            </w:pPr>
            <w:r>
              <w:t xml:space="preserve">Direction of Effect</w:t>
            </w:r>
          </w:p>
        </w:tc>
        <w:tc>
          <w:tcPr/>
          <w:p>
            <w:pPr>
              <w:pStyle w:val="Compact"/>
              <w:jc w:val="left"/>
            </w:pPr>
            <w:r>
              <w:t xml:space="preserve">Mechanism</w:t>
            </w:r>
          </w:p>
        </w:tc>
        <w:tc>
          <w:tcPr/>
          <w:p>
            <w:pPr>
              <w:pStyle w:val="Compact"/>
              <w:jc w:val="left"/>
            </w:pPr>
            <w:r>
              <w:t xml:space="preserve">Practical Implication</w:t>
            </w:r>
          </w:p>
        </w:tc>
      </w:tr>
      <w:tr>
        <w:tc>
          <w:tcPr/>
          <w:p>
            <w:pPr>
              <w:pStyle w:val="Compact"/>
              <w:jc w:val="left"/>
            </w:pPr>
            <w:r>
              <w:rPr>
                <w:b/>
                <w:bCs/>
              </w:rPr>
              <w:t xml:space="preserve">Short sleep → poor diet</w:t>
            </w:r>
          </w:p>
        </w:tc>
        <w:tc>
          <w:tcPr/>
          <w:p>
            <w:pPr>
              <w:pStyle w:val="Compact"/>
              <w:jc w:val="left"/>
            </w:pPr>
            <w:r>
              <w:t xml:space="preserve">Altered appetite hormones (↑ghrelin, ↓leptin); increased reward-driven food choices; more eating opportunities; impaired glucose tolerance</w:t>
            </w:r>
          </w:p>
        </w:tc>
        <w:tc>
          <w:tcPr/>
          <w:p>
            <w:pPr>
              <w:pStyle w:val="Compact"/>
              <w:jc w:val="left"/>
            </w:pPr>
            <w:r>
              <w:t xml:space="preserve">Sleep extension interventions may improve dietary quality</w:t>
            </w:r>
          </w:p>
        </w:tc>
      </w:tr>
      <w:tr>
        <w:tc>
          <w:tcPr/>
          <w:p>
            <w:pPr>
              <w:pStyle w:val="Compact"/>
              <w:jc w:val="left"/>
            </w:pPr>
            <w:r>
              <w:rPr>
                <w:b/>
                <w:bCs/>
              </w:rPr>
              <w:t xml:space="preserve">Poor diet → poor sleep</w:t>
            </w:r>
          </w:p>
        </w:tc>
        <w:tc>
          <w:tcPr/>
          <w:p>
            <w:pPr>
              <w:pStyle w:val="Compact"/>
              <w:jc w:val="left"/>
            </w:pPr>
            <w:r>
              <w:t xml:space="preserve">Caffeine and alcohol disrupt sleep architecture; high-fat meals delay sleep onset; irregular meal timing disrupts circadian rhythms; magnesium deficiency may impair sleep quality</w:t>
            </w:r>
          </w:p>
        </w:tc>
        <w:tc>
          <w:tcPr/>
          <w:p>
            <w:pPr>
              <w:pStyle w:val="Compact"/>
              <w:jc w:val="left"/>
            </w:pPr>
            <w:r>
              <w:t xml:space="preserve">Dietary modification (caffeine timing, meal regularity, magnesium adequacy) may improve sleep</w:t>
            </w:r>
          </w:p>
        </w:tc>
      </w:tr>
      <w:tr>
        <w:tc>
          <w:tcPr/>
          <w:p>
            <w:pPr>
              <w:pStyle w:val="Compact"/>
              <w:jc w:val="left"/>
            </w:pPr>
            <w:r>
              <w:rPr>
                <w:b/>
                <w:bCs/>
              </w:rPr>
              <w:t xml:space="preserve">Shared determinants</w:t>
            </w:r>
          </w:p>
        </w:tc>
        <w:tc>
          <w:tcPr/>
          <w:p>
            <w:pPr>
              <w:pStyle w:val="Compact"/>
              <w:jc w:val="left"/>
            </w:pPr>
            <w:r>
              <w:t xml:space="preserve">Stress, irregular schedules, screen use, socioeconomic factors affect both</w:t>
            </w:r>
          </w:p>
        </w:tc>
        <w:tc>
          <w:tcPr/>
          <w:p>
            <w:pPr>
              <w:pStyle w:val="Compact"/>
              <w:jc w:val="left"/>
            </w:pPr>
            <w:r>
              <w:t xml:space="preserve">Address root causes for dual benefit</w:t>
            </w:r>
          </w:p>
        </w:tc>
      </w:tr>
    </w:tbl>
    <w:p>
      <w:pPr>
        <w:pStyle w:val="a0"/>
      </w:pPr>
      <w:r>
        <w:rPr>
          <w:b/>
          <w:bCs/>
        </w:rPr>
        <w:t xml:space="preserve">Meta-analyses demonstrate that short sleep (&lt;7 hours) associates with higher energy intake (+300 kcal/day), greater fat intake, more snacking, and reduced fruit/vegetable consumption</w:t>
      </w:r>
      <w:r>
        <w:t xml:space="preserve">. Sleep extension studies show</w:t>
      </w:r>
      <w:r>
        <w:t xml:space="preserve"> </w:t>
      </w:r>
      <w:r>
        <w:rPr>
          <w:b/>
          <w:bCs/>
        </w:rPr>
        <w:t xml:space="preserve">reduced sugar intake and overall energy reduction</w:t>
      </w:r>
      <w:r>
        <w:t xml:space="preserve"> </w:t>
      </w:r>
      <w:r>
        <w:t xml:space="preserve">when sleep is increased to 7–9 hours.</w:t>
      </w:r>
    </w:p>
    <w:bookmarkEnd w:id="154"/>
    <w:bookmarkStart w:id="155" w:name="Xe4222317483ea6a10a120f4548766f344a0733e"/>
    <w:p>
      <w:pPr>
        <w:pStyle w:val="4"/>
      </w:pPr>
      <w:r>
        <w:t xml:space="preserve">6.2.2 Chrononutrition: Meal Timing and Metabolic Health</w:t>
      </w:r>
    </w:p>
    <w:p>
      <w:pPr>
        <w:pStyle w:val="FirstParagraph"/>
      </w:pPr>
      <w:r>
        <w:rPr>
          <w:b/>
          <w:bCs/>
        </w:rPr>
        <w:t xml:space="preserve">Emerging evidence supports that when we eat matters, not just what we eat</w:t>
      </w:r>
      <w:r>
        <w:t xml:space="preserve">:</w:t>
      </w:r>
    </w:p>
    <w:tbl>
      <w:tblPr>
        <w:tblStyle w:val="Table"/>
        <w:tblW w:type="pct" w:w="5000"/>
        <w:jc w:val="left"/>
        <w:tblLayout w:type="fixed"/>
        <w:tblLook w:firstRow="1" w:lastRow="0" w:firstColumn="0" w:lastColumn="0" w:noHBand="0" w:noVBand="0" w:val="0020"/>
      </w:tblPr>
      <w:tblGrid>
        <w:gridCol w:w="3375"/>
        <w:gridCol w:w="1687"/>
        <w:gridCol w:w="2856"/>
      </w:tblGrid>
      <w:tr>
        <w:trPr>
          <w:tblHeader w:val="on"/>
        </w:trPr>
        <w:tc>
          <w:tcPr/>
          <w:p>
            <w:pPr>
              <w:pStyle w:val="Compact"/>
              <w:jc w:val="left"/>
            </w:pPr>
            <w:r>
              <w:t xml:space="preserve">Chrononutrition Principle</w:t>
            </w:r>
          </w:p>
        </w:tc>
        <w:tc>
          <w:tcPr/>
          <w:p>
            <w:pPr>
              <w:pStyle w:val="Compact"/>
              <w:jc w:val="left"/>
            </w:pPr>
            <w:r>
              <w:t xml:space="preserve">Evidence Base</w:t>
            </w:r>
          </w:p>
        </w:tc>
        <w:tc>
          <w:tcPr/>
          <w:p>
            <w:pPr>
              <w:pStyle w:val="Compact"/>
              <w:jc w:val="left"/>
            </w:pPr>
            <w:r>
              <w:t xml:space="preserve">Practical Application</w:t>
            </w:r>
          </w:p>
        </w:tc>
      </w:tr>
      <w:tr>
        <w:tc>
          <w:tcPr/>
          <w:p>
            <w:pPr>
              <w:pStyle w:val="Compact"/>
              <w:jc w:val="left"/>
            </w:pPr>
            <w:r>
              <w:rPr>
                <w:b/>
                <w:bCs/>
              </w:rPr>
              <w:t xml:space="preserve">Front-load calories</w:t>
            </w:r>
            <w:r>
              <w:t xml:space="preserve"> </w:t>
            </w:r>
            <w:r>
              <w:t xml:space="preserve">(eat more earlier, less later)</w:t>
            </w:r>
          </w:p>
        </w:tc>
        <w:tc>
          <w:tcPr/>
          <w:p>
            <w:pPr>
              <w:pStyle w:val="Compact"/>
              <w:jc w:val="left"/>
            </w:pPr>
            <w:r>
              <w:t xml:space="preserve">Greater weight loss with identical calories consumed earlier; improved insulin sensitivity</w:t>
            </w:r>
          </w:p>
        </w:tc>
        <w:tc>
          <w:tcPr/>
          <w:p>
            <w:pPr>
              <w:pStyle w:val="Compact"/>
              <w:jc w:val="left"/>
            </w:pPr>
            <w:r>
              <w:t xml:space="preserve">Make breakfast/lunch substantial; limit late-night eating</w:t>
            </w:r>
          </w:p>
        </w:tc>
      </w:tr>
      <w:tr>
        <w:tc>
          <w:tcPr/>
          <w:p>
            <w:pPr>
              <w:pStyle w:val="Compact"/>
              <w:jc w:val="left"/>
            </w:pPr>
            <w:r>
              <w:rPr>
                <w:b/>
                <w:bCs/>
              </w:rPr>
              <w:t xml:space="preserve">Time-restricted eating</w:t>
            </w:r>
            <w:r>
              <w:t xml:space="preserve"> </w:t>
            </w:r>
            <w:r>
              <w:t xml:space="preserve">(8–12 hour eating window)</w:t>
            </w:r>
          </w:p>
        </w:tc>
        <w:tc>
          <w:tcPr/>
          <w:p>
            <w:pPr>
              <w:pStyle w:val="Compact"/>
              <w:jc w:val="left"/>
            </w:pPr>
            <w:r>
              <w:t xml:space="preserve">Improved metabolic markers in some studies; may support circadian alignment</w:t>
            </w:r>
          </w:p>
        </w:tc>
        <w:tc>
          <w:tcPr/>
          <w:p>
            <w:pPr>
              <w:pStyle w:val="Compact"/>
              <w:jc w:val="left"/>
            </w:pPr>
            <w:r>
              <w:t xml:space="preserve">Consider 10-hour window (e.g., 8 AM–6 PM) as feasible starting point</w:t>
            </w:r>
          </w:p>
        </w:tc>
      </w:tr>
      <w:tr>
        <w:tc>
          <w:tcPr/>
          <w:p>
            <w:pPr>
              <w:pStyle w:val="Compact"/>
              <w:jc w:val="left"/>
            </w:pPr>
            <w:r>
              <w:rPr>
                <w:b/>
                <w:bCs/>
              </w:rPr>
              <w:t xml:space="preserve">Align with circadian rhythms</w:t>
            </w:r>
            <w:r>
              <w:t xml:space="preserve"> </w:t>
            </w:r>
            <w:r>
              <w:t xml:space="preserve">(stronger metabolic response earlier)</w:t>
            </w:r>
          </w:p>
        </w:tc>
        <w:tc>
          <w:tcPr/>
          <w:p>
            <w:pPr>
              <w:pStyle w:val="Compact"/>
              <w:jc w:val="left"/>
            </w:pPr>
            <w:r>
              <w:t xml:space="preserve">Glucose tolerance peaks in morning, declines evening; melatonin impairs insulin secretion</w:t>
            </w:r>
          </w:p>
        </w:tc>
        <w:tc>
          <w:tcPr/>
          <w:p>
            <w:pPr>
              <w:pStyle w:val="Compact"/>
              <w:jc w:val="left"/>
            </w:pPr>
            <w:r>
              <w:t xml:space="preserve">Schedule carbohydrate-rich meals earlier; avoid large meals near bedtime</w:t>
            </w:r>
          </w:p>
        </w:tc>
      </w:tr>
      <w:tr>
        <w:tc>
          <w:tcPr/>
          <w:p>
            <w:pPr>
              <w:pStyle w:val="Compact"/>
              <w:jc w:val="left"/>
            </w:pPr>
            <w:r>
              <w:rPr>
                <w:b/>
                <w:bCs/>
              </w:rPr>
              <w:t xml:space="preserve">Regular meal timing</w:t>
            </w:r>
            <w:r>
              <w:t xml:space="preserve"> </w:t>
            </w:r>
            <w:r>
              <w:t xml:space="preserve">(consistent daily patterns)</w:t>
            </w:r>
          </w:p>
        </w:tc>
        <w:tc>
          <w:tcPr/>
          <w:p>
            <w:pPr>
              <w:pStyle w:val="Compact"/>
              <w:jc w:val="left"/>
            </w:pPr>
            <w:r>
              <w:t xml:space="preserve">Improved metabolic flexibility; better appetite regulation; enhanced circadian entrainment</w:t>
            </w:r>
          </w:p>
        </w:tc>
        <w:tc>
          <w:tcPr/>
          <w:p>
            <w:pPr>
              <w:pStyle w:val="Compact"/>
              <w:jc w:val="left"/>
            </w:pPr>
            <w:r>
              <w:t xml:space="preserve">Establish consistent meal times; minimize</w:t>
            </w:r>
            <w:r>
              <w:t xml:space="preserve"> </w:t>
            </w:r>
            <w:r>
              <w:t xml:space="preserve">“</w:t>
            </w:r>
            <w:r>
              <w:t xml:space="preserve">grazing</w:t>
            </w:r>
            <w:r>
              <w:t xml:space="preserve">”</w:t>
            </w:r>
          </w:p>
        </w:tc>
      </w:tr>
    </w:tbl>
    <w:p>
      <w:pPr>
        <w:pStyle w:val="a0"/>
      </w:pPr>
      <w:r>
        <w:rPr>
          <w:b/>
          <w:bCs/>
        </w:rPr>
        <w:t xml:space="preserve">Individual variation in chronotype (</w:t>
      </w:r>
      <w:r>
        <w:rPr>
          <w:b/>
          <w:bCs/>
        </w:rPr>
        <w:t xml:space="preserve">“</w:t>
      </w:r>
      <w:r>
        <w:rPr>
          <w:b/>
          <w:bCs/>
        </w:rPr>
        <w:t xml:space="preserve">morning lark</w:t>
      </w:r>
      <w:r>
        <w:rPr>
          <w:b/>
          <w:bCs/>
        </w:rPr>
        <w:t xml:space="preserve">”</w:t>
      </w:r>
      <w:r>
        <w:rPr>
          <w:b/>
          <w:bCs/>
        </w:rPr>
        <w:t xml:space="preserve"> </w:t>
      </w:r>
      <w:r>
        <w:rPr>
          <w:b/>
          <w:bCs/>
        </w:rPr>
        <w:t xml:space="preserve">vs. </w:t>
      </w:r>
      <w:r>
        <w:rPr>
          <w:b/>
          <w:bCs/>
        </w:rPr>
        <w:t xml:space="preserve">“</w:t>
      </w:r>
      <w:r>
        <w:rPr>
          <w:b/>
          <w:bCs/>
        </w:rPr>
        <w:t xml:space="preserve">night owl</w:t>
      </w:r>
      <w:r>
        <w:rPr>
          <w:b/>
          <w:bCs/>
        </w:rPr>
        <w:t xml:space="preserve">”</w:t>
      </w:r>
      <w:r>
        <w:rPr>
          <w:b/>
          <w:bCs/>
        </w:rPr>
        <w:t xml:space="preserve">)</w:t>
      </w:r>
      <w:r>
        <w:t xml:space="preserve"> </w:t>
      </w:r>
      <w:r>
        <w:t xml:space="preserve">modifies optimal timing, suggesting</w:t>
      </w:r>
      <w:r>
        <w:t xml:space="preserve"> </w:t>
      </w:r>
      <w:r>
        <w:rPr>
          <w:b/>
          <w:bCs/>
        </w:rPr>
        <w:t xml:space="preserve">personalized rather than one-size-fits-all chrononutrition recommendations</w:t>
      </w:r>
      <w:r>
        <w:t xml:space="preserve">.</w:t>
      </w:r>
    </w:p>
    <w:bookmarkEnd w:id="155"/>
    <w:bookmarkStart w:id="156" w:name="shift-work-and-disrupted-eating-patterns"/>
    <w:p>
      <w:pPr>
        <w:pStyle w:val="4"/>
      </w:pPr>
      <w:r>
        <w:t xml:space="preserve">6.2.3 Shift Work and Disrupted Eating Patterns</w:t>
      </w:r>
    </w:p>
    <w:p>
      <w:pPr>
        <w:pStyle w:val="FirstParagraph"/>
      </w:pPr>
      <w:r>
        <w:rPr>
          <w:b/>
          <w:bCs/>
        </w:rPr>
        <w:t xml:space="preserve">Shift work affects approximately 20% of the workforce in industrialized countries</w:t>
      </w:r>
      <w:r>
        <w:t xml:space="preserve">, with</w:t>
      </w:r>
      <w:r>
        <w:t xml:space="preserve"> </w:t>
      </w:r>
      <w:r>
        <w:rPr>
          <w:b/>
          <w:bCs/>
        </w:rPr>
        <w:t xml:space="preserve">increased obesity, type 2 diabetes, cardiovascular disease, and certain cancers</w:t>
      </w:r>
      <w:r>
        <w:t xml:space="preserve"> </w:t>
      </w:r>
      <w:r>
        <w:t xml:space="preserve">associated with circadian disruption.</w:t>
      </w:r>
      <w:r>
        <w:t xml:space="preserve"> </w:t>
      </w:r>
      <w:r>
        <w:rPr>
          <w:b/>
          <w:bCs/>
        </w:rPr>
        <w:t xml:space="preserve">Nutritional strategies for shift workers</w:t>
      </w:r>
      <w:r>
        <w:t xml:space="preserve">:</w:t>
      </w:r>
      <w:r>
        <w:t xml:space="preserve"> </w:t>
      </w:r>
      <w:r>
        <w:rPr>
          <w:b/>
          <w:bCs/>
        </w:rPr>
        <w:t xml:space="preserve">time meals to the individual’s biological day rather than clock time</w:t>
      </w:r>
      <w:r>
        <w:t xml:space="preserve"> </w:t>
      </w:r>
      <w:r>
        <w:t xml:space="preserve">when possible;</w:t>
      </w:r>
      <w:r>
        <w:t xml:space="preserve"> </w:t>
      </w:r>
      <w:r>
        <w:rPr>
          <w:b/>
          <w:bCs/>
        </w:rPr>
        <w:t xml:space="preserve">prioritize protein and complex carbohydrates</w:t>
      </w:r>
      <w:r>
        <w:t xml:space="preserve"> </w:t>
      </w:r>
      <w:r>
        <w:t xml:space="preserve">for sustained energy;</w:t>
      </w:r>
      <w:r>
        <w:t xml:space="preserve"> </w:t>
      </w:r>
      <w:r>
        <w:rPr>
          <w:b/>
          <w:bCs/>
        </w:rPr>
        <w:t xml:space="preserve">limit caffeine to first half of shift</w:t>
      </w:r>
      <w:r>
        <w:t xml:space="preserve">;</w:t>
      </w:r>
      <w:r>
        <w:t xml:space="preserve"> </w:t>
      </w:r>
      <w:r>
        <w:rPr>
          <w:b/>
          <w:bCs/>
        </w:rPr>
        <w:t xml:space="preserve">avoid large meals during the</w:t>
      </w:r>
      <w:r>
        <w:rPr>
          <w:b/>
          <w:bCs/>
        </w:rPr>
        <w:t xml:space="preserve"> </w:t>
      </w:r>
      <w:r>
        <w:rPr>
          <w:b/>
          <w:bCs/>
        </w:rPr>
        <w:t xml:space="preserve">“</w:t>
      </w:r>
      <w:r>
        <w:rPr>
          <w:b/>
          <w:bCs/>
        </w:rPr>
        <w:t xml:space="preserve">biological night</w:t>
      </w:r>
      <w:r>
        <w:rPr>
          <w:b/>
          <w:bCs/>
        </w:rPr>
        <w:t xml:space="preserve">”</w:t>
      </w:r>
      <w:r>
        <w:t xml:space="preserve"> </w:t>
      </w:r>
      <w:r>
        <w:t xml:space="preserve">(impaired glucose tolerance);</w:t>
      </w:r>
      <w:r>
        <w:t xml:space="preserve"> </w:t>
      </w:r>
      <w:r>
        <w:rPr>
          <w:b/>
          <w:bCs/>
        </w:rPr>
        <w:t xml:space="preserve">ensure adequate hydration</w:t>
      </w:r>
      <w:r>
        <w:t xml:space="preserve">; and</w:t>
      </w:r>
      <w:r>
        <w:t xml:space="preserve"> </w:t>
      </w:r>
      <w:r>
        <w:rPr>
          <w:b/>
          <w:bCs/>
        </w:rPr>
        <w:t xml:space="preserve">consider melatonin supplementation</w:t>
      </w:r>
      <w:r>
        <w:t xml:space="preserve"> </w:t>
      </w:r>
      <w:r>
        <w:t xml:space="preserve">for sleep promotion after night shifts.</w:t>
      </w:r>
      <w:r>
        <w:t xml:space="preserve"> </w:t>
      </w:r>
      <w:r>
        <w:rPr>
          <w:b/>
          <w:bCs/>
        </w:rPr>
        <w:t xml:space="preserve">Employer-provided healthy food options and designated eating areas</w:t>
      </w:r>
      <w:r>
        <w:t xml:space="preserve"> </w:t>
      </w:r>
      <w:r>
        <w:t xml:space="preserve">support better nutritional choices in shift work environments.</w:t>
      </w:r>
    </w:p>
    <w:bookmarkEnd w:id="156"/>
    <w:bookmarkEnd w:id="157"/>
    <w:bookmarkStart w:id="161" w:name="stress-and-psychological-factors"/>
    <w:p>
      <w:pPr>
        <w:pStyle w:val="3"/>
      </w:pPr>
      <w:r>
        <w:t xml:space="preserve">6.3 Stress and Psychological Factors</w:t>
      </w:r>
    </w:p>
    <w:bookmarkStart w:id="158" w:name="emotional-and-external-eating-triggers"/>
    <w:p>
      <w:pPr>
        <w:pStyle w:val="4"/>
      </w:pPr>
      <w:r>
        <w:t xml:space="preserve">6.3.1 Emotional and External Eating Triggers</w:t>
      </w:r>
    </w:p>
    <w:p>
      <w:pPr>
        <w:pStyle w:val="FirstParagraph"/>
      </w:pPr>
      <w:r>
        <w:rPr>
          <w:b/>
          <w:bCs/>
        </w:rPr>
        <w:t xml:space="preserve">Stress disrupts eating regulation through multiple pathways</w:t>
      </w:r>
      <w:r>
        <w:t xml:space="preserve">:</w:t>
      </w:r>
      <w:r>
        <w:t xml:space="preserve"> </w:t>
      </w:r>
      <w:r>
        <w:rPr>
          <w:b/>
          <w:bCs/>
        </w:rPr>
        <w:t xml:space="preserve">cortisol increases appetite and preference for energy-dense, highly palatable foods</w:t>
      </w:r>
      <w:r>
        <w:t xml:space="preserve">;</w:t>
      </w:r>
      <w:r>
        <w:t xml:space="preserve"> </w:t>
      </w:r>
      <w:r>
        <w:rPr>
          <w:b/>
          <w:bCs/>
        </w:rPr>
        <w:t xml:space="preserve">acute stress may suppress appetite</w:t>
      </w:r>
      <w:r>
        <w:t xml:space="preserve"> </w:t>
      </w:r>
      <w:r>
        <w:t xml:space="preserve">(via CRH) while</w:t>
      </w:r>
      <w:r>
        <w:t xml:space="preserve"> </w:t>
      </w:r>
      <w:r>
        <w:rPr>
          <w:b/>
          <w:bCs/>
        </w:rPr>
        <w:t xml:space="preserve">chronic stress promotes overeating</w:t>
      </w:r>
      <w:r>
        <w:t xml:space="preserve">; and</w:t>
      </w:r>
      <w:r>
        <w:t xml:space="preserve"> </w:t>
      </w:r>
      <w:r>
        <w:rPr>
          <w:b/>
          <w:bCs/>
        </w:rPr>
        <w:t xml:space="preserve">individual differences in stress response</w:t>
      </w:r>
      <w:r>
        <w:t xml:space="preserve"> </w:t>
      </w:r>
      <w:r>
        <w:t xml:space="preserve">(hyper- vs. hypo-arousal) determine direction of effect.</w:t>
      </w:r>
      <w:r>
        <w:t xml:space="preserve"> </w:t>
      </w:r>
      <w:r>
        <w:rPr>
          <w:b/>
          <w:bCs/>
        </w:rPr>
        <w:t xml:space="preserve">Emotional eating</w:t>
      </w:r>
      <w:r>
        <w:t xml:space="preserve"> </w:t>
      </w:r>
      <w:r>
        <w:t xml:space="preserve">(eating in response to negative emotions rather than physiological hunger) predicts weight gain and difficulty with weight management.</w:t>
      </w:r>
      <w:r>
        <w:t xml:space="preserve"> </w:t>
      </w:r>
      <w:r>
        <w:rPr>
          <w:b/>
          <w:bCs/>
        </w:rPr>
        <w:t xml:space="preserve">External eating</w:t>
      </w:r>
      <w:r>
        <w:t xml:space="preserve"> </w:t>
      </w:r>
      <w:r>
        <w:t xml:space="preserve">(responsiveness to food cues in the environment) is elevated in obesogenic environments with constant food availability and marketing.</w:t>
      </w:r>
    </w:p>
    <w:bookmarkEnd w:id="158"/>
    <w:bookmarkStart w:id="159" w:name="X0c7749362ef9768273235f51831ddb6abfa30ff"/>
    <w:p>
      <w:pPr>
        <w:pStyle w:val="4"/>
      </w:pPr>
      <w:r>
        <w:t xml:space="preserve">6.3.2 Cortisol and Macronutrient Preference Shifts</w:t>
      </w:r>
    </w:p>
    <w:p>
      <w:pPr>
        <w:pStyle w:val="FirstParagraph"/>
      </w:pPr>
      <w:r>
        <w:rPr>
          <w:b/>
          <w:bCs/>
        </w:rPr>
        <w:t xml:space="preserve">Cortisol, the primary glucocorticoid stress hormone, specifically increases preference for carbohydrates and fats</w:t>
      </w:r>
      <w:r>
        <w:t xml:space="preserve">—the macronutrient combination most effective in dampening hypothalamic-pituitary-adrenal axis activity through insulin-mediated tryptophan entry to the brain and serotonin synthesis. This</w:t>
      </w:r>
      <w:r>
        <w:t xml:space="preserve"> </w:t>
      </w:r>
      <w:r>
        <w:rPr>
          <w:b/>
          <w:bCs/>
        </w:rPr>
        <w:t xml:space="preserve">evolutionarily adaptive response becomes maladaptive in chronic stress</w:t>
      </w:r>
      <w:r>
        <w:t xml:space="preserve">, promoting abdominal fat accumulation and metabolic dysfunction.</w:t>
      </w:r>
      <w:r>
        <w:t xml:space="preserve"> </w:t>
      </w:r>
      <w:r>
        <w:rPr>
          <w:b/>
          <w:bCs/>
        </w:rPr>
        <w:t xml:space="preserve">Protein intake may partially counteract</w:t>
      </w:r>
      <w:r>
        <w:t xml:space="preserve"> </w:t>
      </w:r>
      <w:r>
        <w:t xml:space="preserve">cortisol-driven preferences by promoting satiety and stabilizing blood glucose.</w:t>
      </w:r>
      <w:r>
        <w:t xml:space="preserve"> </w:t>
      </w:r>
      <w:r>
        <w:rPr>
          <w:b/>
          <w:bCs/>
        </w:rPr>
        <w:t xml:space="preserve">Stress management interventions</w:t>
      </w:r>
      <w:r>
        <w:t xml:space="preserve"> </w:t>
      </w:r>
      <w:r>
        <w:t xml:space="preserve">(mindfulness, exercise, social connection) reduce cortisol and improve dietary self-regulation.</w:t>
      </w:r>
    </w:p>
    <w:bookmarkEnd w:id="159"/>
    <w:bookmarkStart w:id="160" w:name="mindful-eating-interventions"/>
    <w:p>
      <w:pPr>
        <w:pStyle w:val="4"/>
      </w:pPr>
      <w:r>
        <w:t xml:space="preserve">6.3.3 Mindful Eating Interventions</w:t>
      </w:r>
    </w:p>
    <w:p>
      <w:pPr>
        <w:pStyle w:val="FirstParagraph"/>
      </w:pPr>
      <w:r>
        <w:rPr>
          <w:b/>
          <w:bCs/>
        </w:rPr>
        <w:t xml:space="preserve">Mindful eating—paying full attention to the experience of eating and drinking, both inside and outside the body—has emerged as effective intervention for disordered eating patterns</w:t>
      </w:r>
      <w:r>
        <w:t xml:space="preserve">:</w:t>
      </w:r>
    </w:p>
    <w:tbl>
      <w:tblPr>
        <w:tblStyle w:val="Table"/>
        <w:tblW w:type="pct" w:w="5000"/>
        <w:jc w:val="left"/>
        <w:tblLayout w:type="fixed"/>
        <w:tblLook w:firstRow="1" w:lastRow="0" w:firstColumn="0" w:lastColumn="0" w:noHBand="0" w:noVBand="0" w:val="0020"/>
      </w:tblPr>
      <w:tblGrid>
        <w:gridCol w:w="2400"/>
        <w:gridCol w:w="2400"/>
        <w:gridCol w:w="3120"/>
      </w:tblGrid>
      <w:tr>
        <w:trPr>
          <w:tblHeader w:val="on"/>
        </w:trPr>
        <w:tc>
          <w:tcPr/>
          <w:p>
            <w:pPr>
              <w:pStyle w:val="Compact"/>
              <w:jc w:val="left"/>
            </w:pPr>
            <w:r>
              <w:t xml:space="preserve">Component</w:t>
            </w:r>
          </w:p>
        </w:tc>
        <w:tc>
          <w:tcPr/>
          <w:p>
            <w:pPr>
              <w:pStyle w:val="Compact"/>
              <w:jc w:val="left"/>
            </w:pPr>
            <w:r>
              <w:t xml:space="preserve">Practice</w:t>
            </w:r>
          </w:p>
        </w:tc>
        <w:tc>
          <w:tcPr/>
          <w:p>
            <w:pPr>
              <w:pStyle w:val="Compact"/>
              <w:jc w:val="left"/>
            </w:pPr>
            <w:r>
              <w:t xml:space="preserve">Target Outcome</w:t>
            </w:r>
          </w:p>
        </w:tc>
      </w:tr>
      <w:tr>
        <w:tc>
          <w:tcPr/>
          <w:p>
            <w:pPr>
              <w:pStyle w:val="Compact"/>
              <w:jc w:val="left"/>
            </w:pPr>
            <w:r>
              <w:rPr>
                <w:b/>
                <w:bCs/>
              </w:rPr>
              <w:t xml:space="preserve">Attunement to hunger/fullness cues</w:t>
            </w:r>
          </w:p>
        </w:tc>
        <w:tc>
          <w:tcPr/>
          <w:p>
            <w:pPr>
              <w:pStyle w:val="Compact"/>
              <w:jc w:val="left"/>
            </w:pPr>
            <w:r>
              <w:t xml:space="preserve">Rate hunger before eating; pause mid-meal to assess satiety; stop at comfortable fullness</w:t>
            </w:r>
          </w:p>
        </w:tc>
        <w:tc>
          <w:tcPr/>
          <w:p>
            <w:pPr>
              <w:pStyle w:val="Compact"/>
              <w:jc w:val="left"/>
            </w:pPr>
            <w:r>
              <w:t xml:space="preserve">Reduce overeating; improve energy balance</w:t>
            </w:r>
          </w:p>
        </w:tc>
      </w:tr>
      <w:tr>
        <w:tc>
          <w:tcPr/>
          <w:p>
            <w:pPr>
              <w:pStyle w:val="Compact"/>
              <w:jc w:val="left"/>
            </w:pPr>
            <w:r>
              <w:rPr>
                <w:b/>
                <w:bCs/>
              </w:rPr>
              <w:t xml:space="preserve">Sensory awareness</w:t>
            </w:r>
          </w:p>
        </w:tc>
        <w:tc>
          <w:tcPr/>
          <w:p>
            <w:pPr>
              <w:pStyle w:val="Compact"/>
              <w:jc w:val="left"/>
            </w:pPr>
            <w:r>
              <w:t xml:space="preserve">Notice colors, textures, aromas, flavors; eat slowly; put utensils down between bites</w:t>
            </w:r>
          </w:p>
        </w:tc>
        <w:tc>
          <w:tcPr/>
          <w:p>
            <w:pPr>
              <w:pStyle w:val="Compact"/>
              <w:jc w:val="left"/>
            </w:pPr>
            <w:r>
              <w:t xml:space="preserve">Increase meal satisfaction; reduce portion needs</w:t>
            </w:r>
          </w:p>
        </w:tc>
      </w:tr>
      <w:tr>
        <w:tc>
          <w:tcPr/>
          <w:p>
            <w:pPr>
              <w:pStyle w:val="Compact"/>
              <w:jc w:val="left"/>
            </w:pPr>
            <w:r>
              <w:rPr>
                <w:b/>
                <w:bCs/>
              </w:rPr>
              <w:t xml:space="preserve">Non-judgmental awareness</w:t>
            </w:r>
          </w:p>
        </w:tc>
        <w:tc>
          <w:tcPr/>
          <w:p>
            <w:pPr>
              <w:pStyle w:val="Compact"/>
              <w:jc w:val="left"/>
            </w:pPr>
            <w:r>
              <w:t xml:space="preserve">Observe eating patterns without self-criticism; distinguish physical from emotional hunger</w:t>
            </w:r>
          </w:p>
        </w:tc>
        <w:tc>
          <w:tcPr/>
          <w:p>
            <w:pPr>
              <w:pStyle w:val="Compact"/>
              <w:jc w:val="left"/>
            </w:pPr>
            <w:r>
              <w:t xml:space="preserve">Reduce guilt-driven eating cycles; improve relationship with food</w:t>
            </w:r>
          </w:p>
        </w:tc>
      </w:tr>
      <w:tr>
        <w:tc>
          <w:tcPr/>
          <w:p>
            <w:pPr>
              <w:pStyle w:val="Compact"/>
              <w:jc w:val="left"/>
            </w:pPr>
            <w:r>
              <w:rPr>
                <w:b/>
                <w:bCs/>
              </w:rPr>
              <w:t xml:space="preserve">Present-moment focus</w:t>
            </w:r>
          </w:p>
        </w:tc>
        <w:tc>
          <w:tcPr/>
          <w:p>
            <w:pPr>
              <w:pStyle w:val="Compact"/>
              <w:jc w:val="left"/>
            </w:pPr>
            <w:r>
              <w:t xml:space="preserve">Eat without screens/distractions; dedicate time for meals; gratitude practice</w:t>
            </w:r>
          </w:p>
        </w:tc>
        <w:tc>
          <w:tcPr/>
          <w:p>
            <w:pPr>
              <w:pStyle w:val="Compact"/>
              <w:jc w:val="left"/>
            </w:pPr>
            <w:r>
              <w:t xml:space="preserve">Improve digestion; enhance eating experience</w:t>
            </w:r>
          </w:p>
        </w:tc>
      </w:tr>
      <w:tr>
        <w:tc>
          <w:tcPr/>
          <w:p>
            <w:pPr>
              <w:pStyle w:val="Compact"/>
              <w:jc w:val="left"/>
            </w:pPr>
            <w:r>
              <w:rPr>
                <w:b/>
                <w:bCs/>
              </w:rPr>
              <w:t xml:space="preserve">Compassionate self-care</w:t>
            </w:r>
          </w:p>
        </w:tc>
        <w:tc>
          <w:tcPr/>
          <w:p>
            <w:pPr>
              <w:pStyle w:val="Compact"/>
              <w:jc w:val="left"/>
            </w:pPr>
            <w:r>
              <w:t xml:space="preserve">Choose nourishing foods as self-care; flexible rather than rigid rules; forgive lapses</w:t>
            </w:r>
          </w:p>
        </w:tc>
        <w:tc>
          <w:tcPr/>
          <w:p>
            <w:pPr>
              <w:pStyle w:val="Compact"/>
              <w:jc w:val="left"/>
            </w:pPr>
            <w:r>
              <w:t xml:space="preserve">Sustainable behavior change; reduced all-or-nothing thinking</w:t>
            </w:r>
          </w:p>
        </w:tc>
      </w:tr>
    </w:tbl>
    <w:p>
      <w:pPr>
        <w:pStyle w:val="a0"/>
      </w:pPr>
      <w:r>
        <w:rPr>
          <w:b/>
          <w:bCs/>
        </w:rPr>
        <w:t xml:space="preserve">Meta-analyses demonstrate that mindful eating interventions reduce binge eating, emotional eating, and external eating</w:t>
      </w:r>
      <w:r>
        <w:t xml:space="preserve">, with</w:t>
      </w:r>
      <w:r>
        <w:t xml:space="preserve"> </w:t>
      </w:r>
      <w:r>
        <w:rPr>
          <w:b/>
          <w:bCs/>
        </w:rPr>
        <w:t xml:space="preserve">modest but consistent effects on weight management</w:t>
      </w:r>
      <w:r>
        <w:t xml:space="preserve"> </w:t>
      </w:r>
      <w:r>
        <w:t xml:space="preserve">when combined with other strategies.</w:t>
      </w:r>
    </w:p>
    <w:bookmarkEnd w:id="160"/>
    <w:bookmarkEnd w:id="161"/>
    <w:bookmarkStart w:id="165" w:name="social-and-environmental-determinants"/>
    <w:p>
      <w:pPr>
        <w:pStyle w:val="3"/>
      </w:pPr>
      <w:r>
        <w:t xml:space="preserve">6.4 Social and Environmental Determinants</w:t>
      </w:r>
    </w:p>
    <w:bookmarkStart w:id="162" w:name="X1352b38edc872e394978a4b75612e1a2be7c9be"/>
    <w:p>
      <w:pPr>
        <w:pStyle w:val="4"/>
      </w:pPr>
      <w:r>
        <w:t xml:space="preserve">6.4.1 Food Access, Security, and Socioeconomic Gradients</w:t>
      </w:r>
    </w:p>
    <w:p>
      <w:pPr>
        <w:pStyle w:val="FirstParagraph"/>
      </w:pPr>
      <w:r>
        <w:rPr>
          <w:b/>
          <w:bCs/>
        </w:rPr>
        <w:t xml:space="preserve">Nutritional health is profoundly shaped by structural factors beyond individual choice</w:t>
      </w:r>
      <w:r>
        <w:t xml:space="preserve">:</w:t>
      </w:r>
    </w:p>
    <w:tbl>
      <w:tblPr>
        <w:tblStyle w:val="Table"/>
        <w:tblW w:type="pct" w:w="5000"/>
        <w:jc w:val="left"/>
        <w:tblLayout w:type="fixed"/>
        <w:tblLook w:firstRow="1" w:lastRow="0" w:firstColumn="0" w:lastColumn="0" w:noHBand="0" w:noVBand="0" w:val="0020"/>
      </w:tblPr>
      <w:tblGrid>
        <w:gridCol w:w="2074"/>
        <w:gridCol w:w="2451"/>
        <w:gridCol w:w="3394"/>
      </w:tblGrid>
      <w:tr>
        <w:trPr>
          <w:tblHeader w:val="on"/>
        </w:trPr>
        <w:tc>
          <w:tcPr/>
          <w:p>
            <w:pPr>
              <w:pStyle w:val="Compact"/>
              <w:jc w:val="left"/>
            </w:pPr>
            <w:r>
              <w:t xml:space="preserve">Determinant</w:t>
            </w:r>
          </w:p>
        </w:tc>
        <w:tc>
          <w:tcPr/>
          <w:p>
            <w:pPr>
              <w:pStyle w:val="Compact"/>
              <w:jc w:val="left"/>
            </w:pPr>
            <w:r>
              <w:t xml:space="preserve">Impact on Diet</w:t>
            </w:r>
          </w:p>
        </w:tc>
        <w:tc>
          <w:tcPr/>
          <w:p>
            <w:pPr>
              <w:pStyle w:val="Compact"/>
              <w:jc w:val="left"/>
            </w:pPr>
            <w:r>
              <w:t xml:space="preserve">Intervention Level</w:t>
            </w:r>
          </w:p>
        </w:tc>
      </w:tr>
      <w:tr>
        <w:tc>
          <w:tcPr/>
          <w:p>
            <w:pPr>
              <w:pStyle w:val="Compact"/>
              <w:jc w:val="left"/>
            </w:pPr>
            <w:r>
              <w:rPr>
                <w:b/>
                <w:bCs/>
              </w:rPr>
              <w:t xml:space="preserve">Food insecurity</w:t>
            </w:r>
          </w:p>
        </w:tc>
        <w:tc>
          <w:tcPr/>
          <w:p>
            <w:pPr>
              <w:pStyle w:val="Compact"/>
              <w:jc w:val="left"/>
            </w:pPr>
            <w:r>
              <w:t xml:space="preserve">Reduced diet quality; cyclical under- and over-eating; reliance on cheap, energy-dense foods</w:t>
            </w:r>
          </w:p>
        </w:tc>
        <w:tc>
          <w:tcPr/>
          <w:p>
            <w:pPr>
              <w:pStyle w:val="Compact"/>
              <w:jc w:val="left"/>
            </w:pPr>
            <w:r>
              <w:t xml:space="preserve">Policy: SNAP, WIC, food banks; community: urban agriculture, co-ops</w:t>
            </w:r>
          </w:p>
        </w:tc>
      </w:tr>
      <w:tr>
        <w:tc>
          <w:tcPr/>
          <w:p>
            <w:pPr>
              <w:pStyle w:val="Compact"/>
              <w:jc w:val="left"/>
            </w:pPr>
            <w:r>
              <w:rPr>
                <w:b/>
                <w:bCs/>
              </w:rPr>
              <w:t xml:space="preserve">Food deserts/swamps</w:t>
            </w:r>
          </w:p>
        </w:tc>
        <w:tc>
          <w:tcPr/>
          <w:p>
            <w:pPr>
              <w:pStyle w:val="Compact"/>
              <w:jc w:val="left"/>
            </w:pPr>
            <w:r>
              <w:t xml:space="preserve">Limited access to fresh, affordable healthy foods; predominance of fast food and convenience stores</w:t>
            </w:r>
          </w:p>
        </w:tc>
        <w:tc>
          <w:tcPr/>
          <w:p>
            <w:pPr>
              <w:pStyle w:val="Compact"/>
              <w:jc w:val="left"/>
            </w:pPr>
            <w:r>
              <w:t xml:space="preserve">Zoning; incentives for supermarkets; mobile fresh food markets</w:t>
            </w:r>
          </w:p>
        </w:tc>
      </w:tr>
      <w:tr>
        <w:tc>
          <w:tcPr/>
          <w:p>
            <w:pPr>
              <w:pStyle w:val="Compact"/>
              <w:jc w:val="left"/>
            </w:pPr>
            <w:r>
              <w:rPr>
                <w:b/>
                <w:bCs/>
              </w:rPr>
              <w:t xml:space="preserve">Income inequality</w:t>
            </w:r>
          </w:p>
        </w:tc>
        <w:tc>
          <w:tcPr/>
          <w:p>
            <w:pPr>
              <w:pStyle w:val="Compact"/>
              <w:jc w:val="left"/>
            </w:pPr>
            <w:r>
              <w:t xml:space="preserve">Healthy foods cost more per calorie; time poverty limits food preparation; stress affects eating patterns</w:t>
            </w:r>
          </w:p>
        </w:tc>
        <w:tc>
          <w:tcPr/>
          <w:p>
            <w:pPr>
              <w:pStyle w:val="Compact"/>
              <w:jc w:val="left"/>
            </w:pPr>
            <w:r>
              <w:t xml:space="preserve">Living wage policies; prepared meal programs; nutrition assistance</w:t>
            </w:r>
          </w:p>
        </w:tc>
      </w:tr>
      <w:tr>
        <w:tc>
          <w:tcPr/>
          <w:p>
            <w:pPr>
              <w:pStyle w:val="Compact"/>
              <w:jc w:val="left"/>
            </w:pPr>
            <w:r>
              <w:rPr>
                <w:b/>
                <w:bCs/>
              </w:rPr>
              <w:t xml:space="preserve">Food marketing</w:t>
            </w:r>
          </w:p>
        </w:tc>
        <w:tc>
          <w:tcPr/>
          <w:p>
            <w:pPr>
              <w:pStyle w:val="Compact"/>
              <w:jc w:val="left"/>
            </w:pPr>
            <w:r>
              <w:t xml:space="preserve">Disproportionate targeting of children and minorities with unhealthy products; pervasive digital marketing</w:t>
            </w:r>
          </w:p>
        </w:tc>
        <w:tc>
          <w:tcPr/>
          <w:p>
            <w:pPr>
              <w:pStyle w:val="Compact"/>
              <w:jc w:val="left"/>
            </w:pPr>
            <w:r>
              <w:t xml:space="preserve">Regulation; counter-advertising; media literacy education</w:t>
            </w:r>
          </w:p>
        </w:tc>
      </w:tr>
      <w:tr>
        <w:tc>
          <w:tcPr/>
          <w:p>
            <w:pPr>
              <w:pStyle w:val="Compact"/>
              <w:jc w:val="left"/>
            </w:pPr>
            <w:r>
              <w:rPr>
                <w:b/>
                <w:bCs/>
              </w:rPr>
              <w:t xml:space="preserve">Workplace environment</w:t>
            </w:r>
          </w:p>
        </w:tc>
        <w:tc>
          <w:tcPr/>
          <w:p>
            <w:pPr>
              <w:pStyle w:val="Compact"/>
              <w:jc w:val="left"/>
            </w:pPr>
            <w:r>
              <w:t xml:space="preserve">Limited break time for meals; vending machine options; sedentary occupations</w:t>
            </w:r>
          </w:p>
        </w:tc>
        <w:tc>
          <w:tcPr/>
          <w:p>
            <w:pPr>
              <w:pStyle w:val="Compact"/>
              <w:jc w:val="left"/>
            </w:pPr>
            <w:r>
              <w:t xml:space="preserve">Workplace wellness; healthy catering policies; active design</w:t>
            </w:r>
          </w:p>
        </w:tc>
      </w:tr>
    </w:tbl>
    <w:p>
      <w:pPr>
        <w:pStyle w:val="a0"/>
      </w:pPr>
      <w:r>
        <w:rPr>
          <w:b/>
          <w:bCs/>
        </w:rPr>
        <w:t xml:space="preserve">Addressing these determinants requires policy, community, and organizational interventions beyond individual education</w:t>
      </w:r>
      <w:r>
        <w:t xml:space="preserve">—recognizing that</w:t>
      </w:r>
      <w:r>
        <w:t xml:space="preserve"> </w:t>
      </w:r>
      <w:r>
        <w:rPr>
          <w:b/>
          <w:bCs/>
        </w:rPr>
        <w:t xml:space="preserve">“</w:t>
      </w:r>
      <w:r>
        <w:rPr>
          <w:b/>
          <w:bCs/>
        </w:rPr>
        <w:t xml:space="preserve">personal responsibility</w:t>
      </w:r>
      <w:r>
        <w:rPr>
          <w:b/>
          <w:bCs/>
        </w:rPr>
        <w:t xml:space="preserve">”</w:t>
      </w:r>
      <w:r>
        <w:rPr>
          <w:b/>
          <w:bCs/>
        </w:rPr>
        <w:t xml:space="preserve"> </w:t>
      </w:r>
      <w:r>
        <w:rPr>
          <w:b/>
          <w:bCs/>
        </w:rPr>
        <w:t xml:space="preserve">framing obscures structural barriers</w:t>
      </w:r>
      <w:r>
        <w:t xml:space="preserve"> </w:t>
      </w:r>
      <w:r>
        <w:t xml:space="preserve">that constrain food choices.</w:t>
      </w:r>
    </w:p>
    <w:bookmarkEnd w:id="162"/>
    <w:bookmarkStart w:id="163" w:name="cultural-food-practices-and-identity"/>
    <w:p>
      <w:pPr>
        <w:pStyle w:val="4"/>
      </w:pPr>
      <w:r>
        <w:t xml:space="preserve">6.4.2 Cultural Food Practices and Identity</w:t>
      </w:r>
    </w:p>
    <w:p>
      <w:pPr>
        <w:pStyle w:val="FirstParagraph"/>
      </w:pPr>
      <w:r>
        <w:rPr>
          <w:b/>
          <w:bCs/>
        </w:rPr>
        <w:t xml:space="preserve">Food is central to cultural identity, social bonding, and intergenerational transmission</w:t>
      </w:r>
      <w:r>
        <w:t xml:space="preserve">:</w:t>
      </w:r>
    </w:p>
    <w:tbl>
      <w:tblPr>
        <w:tblStyle w:val="Table"/>
        <w:tblW w:type="pct" w:w="5000"/>
        <w:jc w:val="left"/>
        <w:tblLayout w:type="fixed"/>
        <w:tblLook w:firstRow="1" w:lastRow="0" w:firstColumn="0" w:lastColumn="0" w:noHBand="0" w:noVBand="0" w:val="0020"/>
      </w:tblPr>
      <w:tblGrid>
        <w:gridCol w:w="2741"/>
        <w:gridCol w:w="1523"/>
        <w:gridCol w:w="3655"/>
      </w:tblGrid>
      <w:tr>
        <w:trPr>
          <w:tblHeader w:val="on"/>
        </w:trPr>
        <w:tc>
          <w:tcPr/>
          <w:p>
            <w:pPr>
              <w:pStyle w:val="Compact"/>
              <w:jc w:val="left"/>
            </w:pPr>
            <w:r>
              <w:t xml:space="preserve">Cultural Function</w:t>
            </w:r>
          </w:p>
        </w:tc>
        <w:tc>
          <w:tcPr/>
          <w:p>
            <w:pPr>
              <w:pStyle w:val="Compact"/>
              <w:jc w:val="left"/>
            </w:pPr>
            <w:r>
              <w:t xml:space="preserve">Examples</w:t>
            </w:r>
          </w:p>
        </w:tc>
        <w:tc>
          <w:tcPr/>
          <w:p>
            <w:pPr>
              <w:pStyle w:val="Compact"/>
              <w:jc w:val="left"/>
            </w:pPr>
            <w:r>
              <w:t xml:space="preserve">Nutritional Implications</w:t>
            </w:r>
          </w:p>
        </w:tc>
      </w:tr>
      <w:tr>
        <w:tc>
          <w:tcPr/>
          <w:p>
            <w:pPr>
              <w:pStyle w:val="Compact"/>
              <w:jc w:val="left"/>
            </w:pPr>
            <w:r>
              <w:rPr>
                <w:b/>
                <w:bCs/>
              </w:rPr>
              <w:t xml:space="preserve">Religious and spiritual practice</w:t>
            </w:r>
          </w:p>
        </w:tc>
        <w:tc>
          <w:tcPr/>
          <w:p>
            <w:pPr>
              <w:pStyle w:val="Compact"/>
              <w:jc w:val="left"/>
            </w:pPr>
            <w:r>
              <w:t xml:space="preserve">Halal, kosher, Buddhist vegetarianism, Hindu cow protection, Ramadan fasting, Lenten observance</w:t>
            </w:r>
          </w:p>
        </w:tc>
        <w:tc>
          <w:tcPr/>
          <w:p>
            <w:pPr>
              <w:pStyle w:val="Compact"/>
              <w:jc w:val="left"/>
            </w:pPr>
            <w:r>
              <w:t xml:space="preserve">May enhance or constrain nutritional options; requires respectful accommodation</w:t>
            </w:r>
          </w:p>
        </w:tc>
      </w:tr>
      <w:tr>
        <w:tc>
          <w:tcPr/>
          <w:p>
            <w:pPr>
              <w:pStyle w:val="Compact"/>
              <w:jc w:val="left"/>
            </w:pPr>
            <w:r>
              <w:rPr>
                <w:b/>
                <w:bCs/>
              </w:rPr>
              <w:t xml:space="preserve">Ethnic identity preservation</w:t>
            </w:r>
          </w:p>
        </w:tc>
        <w:tc>
          <w:tcPr/>
          <w:p>
            <w:pPr>
              <w:pStyle w:val="Compact"/>
              <w:jc w:val="left"/>
            </w:pPr>
            <w:r>
              <w:t xml:space="preserve">Traditional recipes, cooking techniques, ingredient sourcing</w:t>
            </w:r>
          </w:p>
        </w:tc>
        <w:tc>
          <w:tcPr/>
          <w:p>
            <w:pPr>
              <w:pStyle w:val="Compact"/>
              <w:jc w:val="left"/>
            </w:pPr>
            <w:r>
              <w:t xml:space="preserve">Maintains dietary diversity; may conflict with acculturation and</w:t>
            </w:r>
            <w:r>
              <w:t xml:space="preserve"> </w:t>
            </w:r>
            <w:r>
              <w:t xml:space="preserve">“</w:t>
            </w:r>
            <w:r>
              <w:t xml:space="preserve">Western</w:t>
            </w:r>
            <w:r>
              <w:t xml:space="preserve">”</w:t>
            </w:r>
            <w:r>
              <w:t xml:space="preserve"> </w:t>
            </w:r>
            <w:r>
              <w:t xml:space="preserve">disease risk</w:t>
            </w:r>
          </w:p>
        </w:tc>
      </w:tr>
      <w:tr>
        <w:tc>
          <w:tcPr/>
          <w:p>
            <w:pPr>
              <w:pStyle w:val="Compact"/>
              <w:jc w:val="left"/>
            </w:pPr>
            <w:r>
              <w:rPr>
                <w:b/>
                <w:bCs/>
              </w:rPr>
              <w:t xml:space="preserve">Family and social connection</w:t>
            </w:r>
          </w:p>
        </w:tc>
        <w:tc>
          <w:tcPr/>
          <w:p>
            <w:pPr>
              <w:pStyle w:val="Compact"/>
              <w:jc w:val="left"/>
            </w:pPr>
            <w:r>
              <w:t xml:space="preserve">Shared meals, holiday foods, cooking together, food gifting</w:t>
            </w:r>
          </w:p>
        </w:tc>
        <w:tc>
          <w:tcPr/>
          <w:p>
            <w:pPr>
              <w:pStyle w:val="Compact"/>
              <w:jc w:val="left"/>
            </w:pPr>
            <w:r>
              <w:t xml:space="preserve">Supports mental health; may involve less healthy traditional foods in celebration contexts</w:t>
            </w:r>
          </w:p>
        </w:tc>
      </w:tr>
      <w:tr>
        <w:tc>
          <w:tcPr/>
          <w:p>
            <w:pPr>
              <w:pStyle w:val="Compact"/>
              <w:jc w:val="left"/>
            </w:pPr>
            <w:r>
              <w:rPr>
                <w:b/>
                <w:bCs/>
              </w:rPr>
              <w:t xml:space="preserve">Healing and medicinal use</w:t>
            </w:r>
          </w:p>
        </w:tc>
        <w:tc>
          <w:tcPr/>
          <w:p>
            <w:pPr>
              <w:pStyle w:val="Compact"/>
              <w:jc w:val="left"/>
            </w:pPr>
            <w:r>
              <w:t xml:space="preserve">Traditional Chinese medicine food therapy, Ayurvedic dosha diets, Native American plant medicines</w:t>
            </w:r>
          </w:p>
        </w:tc>
        <w:tc>
          <w:tcPr/>
          <w:p>
            <w:pPr>
              <w:pStyle w:val="Compact"/>
              <w:jc w:val="left"/>
            </w:pPr>
            <w:r>
              <w:t xml:space="preserve">May provide bioactive compounds; requires integration with evidence-based care</w:t>
            </w:r>
          </w:p>
        </w:tc>
      </w:tr>
      <w:tr>
        <w:tc>
          <w:tcPr/>
          <w:p>
            <w:pPr>
              <w:pStyle w:val="Compact"/>
              <w:jc w:val="left"/>
            </w:pPr>
            <w:r>
              <w:rPr>
                <w:b/>
                <w:bCs/>
              </w:rPr>
              <w:t xml:space="preserve">Resistance and empowerment</w:t>
            </w:r>
          </w:p>
        </w:tc>
        <w:tc>
          <w:tcPr/>
          <w:p>
            <w:pPr>
              <w:pStyle w:val="Compact"/>
              <w:jc w:val="left"/>
            </w:pPr>
            <w:r>
              <w:t xml:space="preserve">Soul food reclamation, Indigenous food sovereignty, community gardens</w:t>
            </w:r>
          </w:p>
        </w:tc>
        <w:tc>
          <w:tcPr/>
          <w:p>
            <w:pPr>
              <w:pStyle w:val="Compact"/>
              <w:jc w:val="left"/>
            </w:pPr>
            <w:r>
              <w:t xml:space="preserve">Reclaims agency; may reframe</w:t>
            </w:r>
            <w:r>
              <w:t xml:space="preserve"> </w:t>
            </w:r>
            <w:r>
              <w:t xml:space="preserve">“</w:t>
            </w:r>
            <w:r>
              <w:t xml:space="preserve">unhealthy</w:t>
            </w:r>
            <w:r>
              <w:t xml:space="preserve">”</w:t>
            </w:r>
            <w:r>
              <w:t xml:space="preserve"> </w:t>
            </w:r>
            <w:r>
              <w:t xml:space="preserve">foods within cultural context</w:t>
            </w:r>
          </w:p>
        </w:tc>
      </w:tr>
    </w:tbl>
    <w:p>
      <w:pPr>
        <w:pStyle w:val="a0"/>
      </w:pPr>
      <w:r>
        <w:rPr>
          <w:b/>
          <w:bCs/>
        </w:rPr>
        <w:t xml:space="preserve">Culturally competent nutrition counseling</w:t>
      </w:r>
      <w:r>
        <w:t xml:space="preserve"> </w:t>
      </w:r>
      <w:r>
        <w:t xml:space="preserve">respects these dimensions,</w:t>
      </w:r>
      <w:r>
        <w:t xml:space="preserve"> </w:t>
      </w:r>
      <w:r>
        <w:rPr>
          <w:b/>
          <w:bCs/>
        </w:rPr>
        <w:t xml:space="preserve">working within rather than against cultural food practices</w:t>
      </w:r>
      <w:r>
        <w:t xml:space="preserve"> </w:t>
      </w:r>
      <w:r>
        <w:t xml:space="preserve">to achieve health goals.</w:t>
      </w:r>
    </w:p>
    <w:bookmarkEnd w:id="163"/>
    <w:bookmarkStart w:id="164" w:name="social-support-and-communal-eating"/>
    <w:p>
      <w:pPr>
        <w:pStyle w:val="4"/>
      </w:pPr>
      <w:r>
        <w:t xml:space="preserve">6.4.3 Social Support and Communal Eating</w:t>
      </w:r>
    </w:p>
    <w:p>
      <w:pPr>
        <w:pStyle w:val="FirstParagraph"/>
      </w:pPr>
      <w:r>
        <w:rPr>
          <w:b/>
          <w:bCs/>
        </w:rPr>
        <w:t xml:space="preserve">Social context profoundly affects eating behavior</w:t>
      </w:r>
      <w:r>
        <w:t xml:space="preserve">:</w:t>
      </w:r>
      <w:r>
        <w:t xml:space="preserve"> </w:t>
      </w:r>
      <w:r>
        <w:rPr>
          <w:b/>
          <w:bCs/>
        </w:rPr>
        <w:t xml:space="preserve">people eat more in groups than alone</w:t>
      </w:r>
      <w:r>
        <w:t xml:space="preserve"> </w:t>
      </w:r>
      <w:r>
        <w:t xml:space="preserve">(social facilitation of eating);</w:t>
      </w:r>
      <w:r>
        <w:t xml:space="preserve"> </w:t>
      </w:r>
      <w:r>
        <w:rPr>
          <w:b/>
          <w:bCs/>
        </w:rPr>
        <w:t xml:space="preserve">modeling effects</w:t>
      </w:r>
      <w:r>
        <w:t xml:space="preserve"> </w:t>
      </w:r>
      <w:r>
        <w:t xml:space="preserve">lead individuals to match intake to companions;</w:t>
      </w:r>
      <w:r>
        <w:t xml:space="preserve"> </w:t>
      </w:r>
      <w:r>
        <w:rPr>
          <w:b/>
          <w:bCs/>
        </w:rPr>
        <w:t xml:space="preserve">social norms</w:t>
      </w:r>
      <w:r>
        <w:t xml:space="preserve"> </w:t>
      </w:r>
      <w:r>
        <w:t xml:space="preserve">define appropriate portions and foods; and</w:t>
      </w:r>
      <w:r>
        <w:t xml:space="preserve"> </w:t>
      </w:r>
      <w:r>
        <w:rPr>
          <w:b/>
          <w:bCs/>
        </w:rPr>
        <w:t xml:space="preserve">social support</w:t>
      </w:r>
      <w:r>
        <w:t xml:space="preserve"> </w:t>
      </w:r>
      <w:r>
        <w:t xml:space="preserve">enhances adherence to dietary change.</w:t>
      </w:r>
      <w:r>
        <w:t xml:space="preserve"> </w:t>
      </w:r>
      <w:r>
        <w:rPr>
          <w:b/>
          <w:bCs/>
        </w:rPr>
        <w:t xml:space="preserve">Communal eating—family meals, workplace cafeterias, community dining—can be leveraged for health promotion</w:t>
      </w:r>
      <w:r>
        <w:t xml:space="preserve">:</w:t>
      </w:r>
      <w:r>
        <w:t xml:space="preserve"> </w:t>
      </w:r>
      <w:r>
        <w:rPr>
          <w:b/>
          <w:bCs/>
        </w:rPr>
        <w:t xml:space="preserve">regular family meals</w:t>
      </w:r>
      <w:r>
        <w:t xml:space="preserve"> </w:t>
      </w:r>
      <w:r>
        <w:t xml:space="preserve">predict better diet quality in children and adolescents;</w:t>
      </w:r>
      <w:r>
        <w:t xml:space="preserve"> </w:t>
      </w:r>
      <w:r>
        <w:rPr>
          <w:b/>
          <w:bCs/>
        </w:rPr>
        <w:t xml:space="preserve">workplace healthy eating programs</w:t>
      </w:r>
      <w:r>
        <w:t xml:space="preserve"> </w:t>
      </w:r>
      <w:r>
        <w:t xml:space="preserve">with social components outperform individual approaches; and</w:t>
      </w:r>
      <w:r>
        <w:t xml:space="preserve"> </w:t>
      </w:r>
      <w:r>
        <w:rPr>
          <w:b/>
          <w:bCs/>
        </w:rPr>
        <w:t xml:space="preserve">senior center congregate meals</w:t>
      </w:r>
      <w:r>
        <w:t xml:space="preserve"> </w:t>
      </w:r>
      <w:r>
        <w:t xml:space="preserve">reduce isolation and improve nutritional intake in older adults.</w:t>
      </w:r>
      <w:r>
        <w:t xml:space="preserve"> </w:t>
      </w:r>
      <w:r>
        <w:rPr>
          <w:b/>
          <w:bCs/>
        </w:rPr>
        <w:t xml:space="preserve">Digital social support</w:t>
      </w:r>
      <w:r>
        <w:t xml:space="preserve"> </w:t>
      </w:r>
      <w:r>
        <w:t xml:space="preserve">(online communities, apps with social features) offers emerging avenues, though</w:t>
      </w:r>
      <w:r>
        <w:t xml:space="preserve"> </w:t>
      </w:r>
      <w:r>
        <w:rPr>
          <w:b/>
          <w:bCs/>
        </w:rPr>
        <w:t xml:space="preserve">in-person connection remains most potent for behavior change</w:t>
      </w:r>
      <w:r>
        <w:t xml:space="preserve">.</w:t>
      </w:r>
    </w:p>
    <w:bookmarkEnd w:id="164"/>
    <w:bookmarkEnd w:id="165"/>
    <w:bookmarkEnd w:id="166"/>
    <w:bookmarkStart w:id="183" w:name="X05b5d9b6cc5b1a0a2bd743c2358fe27f0ea14e6"/>
    <w:p>
      <w:pPr>
        <w:pStyle w:val="2"/>
      </w:pPr>
      <w:r>
        <w:t xml:space="preserve">7. Historical and Evolutionary Context of Human Diets</w:t>
      </w:r>
    </w:p>
    <w:bookmarkStart w:id="170" w:name="X0ed532a3e272fd8f788e1ca170865bcd1ba8a1f"/>
    <w:p>
      <w:pPr>
        <w:pStyle w:val="3"/>
      </w:pPr>
      <w:r>
        <w:t xml:space="preserve">7.1 Prehistoric and Hunter-Gatherer Nutrition</w:t>
      </w:r>
    </w:p>
    <w:bookmarkStart w:id="167" w:name="Xfebabec814f889428c68874bb74be1449cb8bdf"/>
    <w:p>
      <w:pPr>
        <w:pStyle w:val="4"/>
      </w:pPr>
      <w:r>
        <w:t xml:space="preserve">7.1.1 Pleistocene Diets: Seasonal Variability and Regional Adaptation</w:t>
      </w:r>
    </w:p>
    <w:p>
      <w:pPr>
        <w:pStyle w:val="FirstParagraph"/>
      </w:pPr>
      <w:r>
        <w:rPr>
          <w:b/>
          <w:bCs/>
        </w:rPr>
        <w:t xml:space="preserve">Human dietary evolution spans approximately 2.5 million years of Pleistocene hunter-gatherer existence</w:t>
      </w:r>
      <w:r>
        <w:t xml:space="preserve">, with</w:t>
      </w:r>
      <w:r>
        <w:t xml:space="preserve"> </w:t>
      </w:r>
      <w:r>
        <w:rPr>
          <w:b/>
          <w:bCs/>
        </w:rPr>
        <w:t xml:space="preserve">remarkable regional and seasonal variation</w:t>
      </w:r>
      <w:r>
        <w:t xml:space="preserve"> </w:t>
      </w:r>
      <w:r>
        <w:t xml:space="preserve">obscured by popular</w:t>
      </w:r>
      <w:r>
        <w:t xml:space="preserve"> </w:t>
      </w:r>
      <w:r>
        <w:t xml:space="preserve">“</w:t>
      </w:r>
      <w:r>
        <w:t xml:space="preserve">Paleo diet</w:t>
      </w:r>
      <w:r>
        <w:t xml:space="preserve">”</w:t>
      </w:r>
      <w:r>
        <w:t xml:space="preserve"> </w:t>
      </w:r>
      <w:r>
        <w:t xml:space="preserve">generalizations.</w:t>
      </w:r>
      <w:r>
        <w:t xml:space="preserve"> </w:t>
      </w:r>
      <w:r>
        <w:rPr>
          <w:b/>
          <w:bCs/>
        </w:rPr>
        <w:t xml:space="preserve">Isotopic analyses of hominin remains reveal diverse subsistence strategies</w:t>
      </w:r>
      <w:r>
        <w:t xml:space="preserve">:</w:t>
      </w:r>
      <w:r>
        <w:t xml:space="preserve"> </w:t>
      </w:r>
      <w:r>
        <w:rPr>
          <w:b/>
          <w:bCs/>
        </w:rPr>
        <w:t xml:space="preserve">early Homo</w:t>
      </w:r>
      <w:r>
        <w:t xml:space="preserve"> </w:t>
      </w:r>
      <w:r>
        <w:t xml:space="preserve">likely scavenged and consumed tough plant foods requiring mechanical processing;</w:t>
      </w:r>
      <w:r>
        <w:t xml:space="preserve"> </w:t>
      </w:r>
      <w:r>
        <w:rPr>
          <w:b/>
          <w:bCs/>
        </w:rPr>
        <w:t xml:space="preserve">Homo erectus</w:t>
      </w:r>
      <w:r>
        <w:t xml:space="preserve"> </w:t>
      </w:r>
      <w:r>
        <w:t xml:space="preserve">incorporated more meat and controlled fire;</w:t>
      </w:r>
      <w:r>
        <w:t xml:space="preserve"> </w:t>
      </w:r>
      <w:r>
        <w:rPr>
          <w:b/>
          <w:bCs/>
        </w:rPr>
        <w:t xml:space="preserve">Neanderthals</w:t>
      </w:r>
      <w:r>
        <w:t xml:space="preserve"> </w:t>
      </w:r>
      <w:r>
        <w:t xml:space="preserve">were</w:t>
      </w:r>
      <w:r>
        <w:t xml:space="preserve"> </w:t>
      </w:r>
      <w:r>
        <w:rPr>
          <w:b/>
          <w:bCs/>
        </w:rPr>
        <w:t xml:space="preserve">high-trophic-level carnivores</w:t>
      </w:r>
      <w:r>
        <w:t xml:space="preserve"> </w:t>
      </w:r>
      <w:r>
        <w:t xml:space="preserve">in cold European environments (isotopic evidence shows mammoth, reindeer, horse dominance), but also consumed plants and possibly medicinal herbs;</w:t>
      </w:r>
      <w:r>
        <w:t xml:space="preserve"> </w:t>
      </w:r>
      <w:r>
        <w:rPr>
          <w:b/>
          <w:bCs/>
        </w:rPr>
        <w:t xml:space="preserve">anatomically modern humans</w:t>
      </w:r>
      <w:r>
        <w:t xml:space="preserve"> </w:t>
      </w:r>
      <w:r>
        <w:t xml:space="preserve">in Africa showed</w:t>
      </w:r>
      <w:r>
        <w:t xml:space="preserve"> </w:t>
      </w:r>
      <w:r>
        <w:rPr>
          <w:b/>
          <w:bCs/>
        </w:rPr>
        <w:t xml:space="preserve">greater dietary breadth and flexibility</w:t>
      </w:r>
      <w:r>
        <w:t xml:space="preserve">, which may have contributed to their eventual expansion.</w:t>
      </w:r>
    </w:p>
    <w:p>
      <w:pPr>
        <w:pStyle w:val="a0"/>
      </w:pPr>
      <w:r>
        <w:rPr>
          <w:b/>
          <w:bCs/>
        </w:rPr>
        <w:t xml:space="preserve">Seasonal variation was extreme</w:t>
      </w:r>
      <w:r>
        <w:t xml:space="preserve">:</w:t>
      </w:r>
      <w:r>
        <w:t xml:space="preserve"> </w:t>
      </w:r>
      <w:r>
        <w:rPr>
          <w:b/>
          <w:bCs/>
        </w:rPr>
        <w:t xml:space="preserve">wet season abundance</w:t>
      </w:r>
      <w:r>
        <w:t xml:space="preserve"> </w:t>
      </w:r>
      <w:r>
        <w:t xml:space="preserve">of fruits, nuts, and game contrasted with</w:t>
      </w:r>
      <w:r>
        <w:t xml:space="preserve"> </w:t>
      </w:r>
      <w:r>
        <w:rPr>
          <w:b/>
          <w:bCs/>
        </w:rPr>
        <w:t xml:space="preserve">dry season reliance</w:t>
      </w:r>
      <w:r>
        <w:t xml:space="preserve"> </w:t>
      </w:r>
      <w:r>
        <w:t xml:space="preserve">on stored foods, underground storage organs (tubers), and lower-quality protein sources.</w:t>
      </w:r>
      <w:r>
        <w:t xml:space="preserve"> </w:t>
      </w:r>
      <w:r>
        <w:rPr>
          <w:b/>
          <w:bCs/>
        </w:rPr>
        <w:t xml:space="preserve">Fasting and feasting cycles</w:t>
      </w:r>
      <w:r>
        <w:t xml:space="preserve"> </w:t>
      </w:r>
      <w:r>
        <w:t xml:space="preserve">were normative, not pathological. This</w:t>
      </w:r>
      <w:r>
        <w:t xml:space="preserve"> </w:t>
      </w:r>
      <w:r>
        <w:rPr>
          <w:b/>
          <w:bCs/>
        </w:rPr>
        <w:t xml:space="preserve">metabolic flexibility—shifting between carbohydrate, fat, and protein oxidation—was likely advantageous</w:t>
      </w:r>
      <w:r>
        <w:t xml:space="preserve"> </w:t>
      </w:r>
      <w:r>
        <w:t xml:space="preserve">and may explain why modern humans can thrive on diverse macronutrient ratios.</w:t>
      </w:r>
    </w:p>
    <w:bookmarkEnd w:id="167"/>
    <w:bookmarkStart w:id="168" w:name="X3973a6f59622954fe497449db57cf966f138464"/>
    <w:p>
      <w:pPr>
        <w:pStyle w:val="4"/>
      </w:pPr>
      <w:r>
        <w:t xml:space="preserve">7.1.2 Cooking and Tool Use: Energy Extraction and Brain Expansion</w:t>
      </w:r>
    </w:p>
    <w:p>
      <w:pPr>
        <w:pStyle w:val="FirstParagraph"/>
      </w:pPr>
      <w:r>
        <w:rPr>
          <w:b/>
          <w:bCs/>
        </w:rPr>
        <w:t xml:space="preserve">The control of fire and cooking, established by at least 400,000–500,000 years ago and possibly earlier</w:t>
      </w:r>
      <w:r>
        <w:t xml:space="preserve">, represents</w:t>
      </w:r>
      <w:r>
        <w:t xml:space="preserve"> </w:t>
      </w:r>
      <w:r>
        <w:rPr>
          <w:b/>
          <w:bCs/>
        </w:rPr>
        <w:t xml:space="preserve">one of the most significant dietary transitions in human evolution</w:t>
      </w:r>
      <w:r>
        <w:t xml:space="preserve">:</w:t>
      </w:r>
    </w:p>
    <w:tbl>
      <w:tblPr>
        <w:tblStyle w:val="Table"/>
        <w:tblW w:type="pct" w:w="5000"/>
        <w:jc w:val="left"/>
        <w:tblLayout w:type="fixed"/>
        <w:tblLook w:firstRow="1" w:lastRow="0" w:firstColumn="0" w:lastColumn="0" w:noHBand="0" w:noVBand="0" w:val="0020"/>
      </w:tblPr>
      <w:tblGrid>
        <w:gridCol w:w="1405"/>
        <w:gridCol w:w="1021"/>
        <w:gridCol w:w="2427"/>
        <w:gridCol w:w="3065"/>
      </w:tblGrid>
      <w:tr>
        <w:trPr>
          <w:tblHeader w:val="on"/>
        </w:trPr>
        <w:tc>
          <w:tcPr/>
          <w:p>
            <w:pPr>
              <w:pStyle w:val="Compact"/>
              <w:jc w:val="left"/>
            </w:pPr>
            <w:r>
              <w:t xml:space="preserve">Innovation</w:t>
            </w:r>
          </w:p>
        </w:tc>
        <w:tc>
          <w:tcPr/>
          <w:p>
            <w:pPr>
              <w:pStyle w:val="Compact"/>
              <w:jc w:val="left"/>
            </w:pPr>
            <w:r>
              <w:t xml:space="preserve">Timing</w:t>
            </w:r>
          </w:p>
        </w:tc>
        <w:tc>
          <w:tcPr/>
          <w:p>
            <w:pPr>
              <w:pStyle w:val="Compact"/>
              <w:jc w:val="left"/>
            </w:pPr>
            <w:r>
              <w:t xml:space="preserve">Nutritional Impact</w:t>
            </w:r>
          </w:p>
        </w:tc>
        <w:tc>
          <w:tcPr/>
          <w:p>
            <w:pPr>
              <w:pStyle w:val="Compact"/>
              <w:jc w:val="left"/>
            </w:pPr>
            <w:r>
              <w:t xml:space="preserve">Evolutionary Consequence</w:t>
            </w:r>
          </w:p>
        </w:tc>
      </w:tr>
      <w:tr>
        <w:tc>
          <w:tcPr/>
          <w:p>
            <w:pPr>
              <w:pStyle w:val="Compact"/>
              <w:jc w:val="left"/>
            </w:pPr>
            <w:r>
              <w:rPr>
                <w:b/>
                <w:bCs/>
              </w:rPr>
              <w:t xml:space="preserve">Stone tool use</w:t>
            </w:r>
          </w:p>
        </w:tc>
        <w:tc>
          <w:tcPr/>
          <w:p>
            <w:pPr>
              <w:pStyle w:val="Compact"/>
              <w:jc w:val="left"/>
            </w:pPr>
            <w:r>
              <w:t xml:space="preserve">3.3 million years ago</w:t>
            </w:r>
          </w:p>
        </w:tc>
        <w:tc>
          <w:tcPr/>
          <w:p>
            <w:pPr>
              <w:pStyle w:val="Compact"/>
              <w:jc w:val="left"/>
            </w:pPr>
            <w:r>
              <w:t xml:space="preserve">Mechanical processing of tough foods; marrow and brain extraction from carcasses</w:t>
            </w:r>
          </w:p>
        </w:tc>
        <w:tc>
          <w:tcPr/>
          <w:p>
            <w:pPr>
              <w:pStyle w:val="Compact"/>
              <w:jc w:val="left"/>
            </w:pPr>
            <w:r>
              <w:t xml:space="preserve">Reduced dental and gut size; increased food variety</w:t>
            </w:r>
          </w:p>
        </w:tc>
      </w:tr>
      <w:tr>
        <w:tc>
          <w:tcPr/>
          <w:p>
            <w:pPr>
              <w:pStyle w:val="Compact"/>
              <w:jc w:val="left"/>
            </w:pPr>
            <w:r>
              <w:rPr>
                <w:b/>
                <w:bCs/>
              </w:rPr>
              <w:t xml:space="preserve">Fire control</w:t>
            </w:r>
          </w:p>
        </w:tc>
        <w:tc>
          <w:tcPr/>
          <w:p>
            <w:pPr>
              <w:pStyle w:val="Compact"/>
              <w:jc w:val="left"/>
            </w:pPr>
            <w:r>
              <w:t xml:space="preserve">~1 million years ago (disputed); clear by 400,000 years ago</w:t>
            </w:r>
          </w:p>
        </w:tc>
        <w:tc>
          <w:tcPr/>
          <w:p>
            <w:pPr>
              <w:pStyle w:val="Compact"/>
              <w:jc w:val="left"/>
            </w:pPr>
            <w:r>
              <w:t xml:space="preserve">Cooking increases energy availability; detoxifies foods; reduces chewing and digestion costs</w:t>
            </w:r>
          </w:p>
        </w:tc>
        <w:tc>
          <w:tcPr/>
          <w:p>
            <w:pPr>
              <w:pStyle w:val="Compact"/>
              <w:jc w:val="left"/>
            </w:pPr>
            <w:r>
              <w:t xml:space="preserve">Further gut reduction; brain expansion; social gathering around fire</w:t>
            </w:r>
          </w:p>
        </w:tc>
      </w:tr>
      <w:tr>
        <w:tc>
          <w:tcPr/>
          <w:p>
            <w:pPr>
              <w:pStyle w:val="Compact"/>
              <w:jc w:val="left"/>
            </w:pPr>
            <w:r>
              <w:rPr>
                <w:b/>
                <w:bCs/>
              </w:rPr>
              <w:t xml:space="preserve">Cooking starchy plants</w:t>
            </w:r>
          </w:p>
        </w:tc>
        <w:tc>
          <w:tcPr/>
          <w:p>
            <w:pPr>
              <w:pStyle w:val="Compact"/>
              <w:jc w:val="left"/>
            </w:pPr>
            <w:r>
              <w:t xml:space="preserve">With fire control</w:t>
            </w:r>
          </w:p>
        </w:tc>
        <w:tc>
          <w:tcPr/>
          <w:p>
            <w:pPr>
              <w:pStyle w:val="Compact"/>
              <w:jc w:val="left"/>
            </w:pPr>
            <w:r>
              <w:t xml:space="preserve">Gelatinization increases glucose availability; reduces toxicity</w:t>
            </w:r>
          </w:p>
        </w:tc>
        <w:tc>
          <w:tcPr/>
          <w:p>
            <w:pPr>
              <w:pStyle w:val="Compact"/>
              <w:jc w:val="left"/>
            </w:pPr>
            <w:r>
              <w:t xml:space="preserve">Supported larger brain; enabled reliance on tubers</w:t>
            </w:r>
          </w:p>
        </w:tc>
      </w:tr>
      <w:tr>
        <w:tc>
          <w:tcPr/>
          <w:p>
            <w:pPr>
              <w:pStyle w:val="Compact"/>
              <w:jc w:val="left"/>
            </w:pPr>
            <w:r>
              <w:rPr>
                <w:b/>
                <w:bCs/>
              </w:rPr>
              <w:t xml:space="preserve">Fermentation</w:t>
            </w:r>
            <w:r>
              <w:t xml:space="preserve"> </w:t>
            </w:r>
            <w:r>
              <w:t xml:space="preserve">(unintentional)</w:t>
            </w:r>
          </w:p>
        </w:tc>
        <w:tc>
          <w:tcPr/>
          <w:p>
            <w:pPr>
              <w:pStyle w:val="Compact"/>
              <w:jc w:val="left"/>
            </w:pPr>
            <w:r>
              <w:t xml:space="preserve">Likely ancient</w:t>
            </w:r>
          </w:p>
        </w:tc>
        <w:tc>
          <w:tcPr/>
          <w:p>
            <w:pPr>
              <w:pStyle w:val="Compact"/>
              <w:jc w:val="left"/>
            </w:pPr>
            <w:r>
              <w:t xml:space="preserve">Preserved foods; enhanced nutrient bioavailability; alcohol production</w:t>
            </w:r>
          </w:p>
        </w:tc>
        <w:tc>
          <w:tcPr/>
          <w:p>
            <w:pPr>
              <w:pStyle w:val="Compact"/>
              <w:jc w:val="left"/>
            </w:pPr>
            <w:r>
              <w:t xml:space="preserve">Extended food availability; possible social and ritual functions</w:t>
            </w:r>
          </w:p>
        </w:tc>
      </w:tr>
    </w:tbl>
    <w:p>
      <w:pPr>
        <w:pStyle w:val="a0"/>
      </w:pPr>
      <w:r>
        <w:rPr>
          <w:b/>
          <w:bCs/>
        </w:rPr>
        <w:t xml:space="preserve">Cooking increases net energy gain from food by 30–50%</w:t>
      </w:r>
      <w:r>
        <w:t xml:space="preserve">, explaining the</w:t>
      </w:r>
      <w:r>
        <w:t xml:space="preserve"> </w:t>
      </w:r>
      <w:r>
        <w:rPr>
          <w:b/>
          <w:bCs/>
        </w:rPr>
        <w:t xml:space="preserve">energetic budget for brain expansion</w:t>
      </w:r>
      <w:r>
        <w:t xml:space="preserve"> </w:t>
      </w:r>
      <w:r>
        <w:t xml:space="preserve">(brain consumes 20% of resting energy despite 2% of body weight) concurrent with</w:t>
      </w:r>
      <w:r>
        <w:t xml:space="preserve"> </w:t>
      </w:r>
      <w:r>
        <w:rPr>
          <w:b/>
          <w:bCs/>
        </w:rPr>
        <w:t xml:space="preserve">gut size reduction</w:t>
      </w:r>
      <w:r>
        <w:t xml:space="preserve"> </w:t>
      </w:r>
      <w:r>
        <w:t xml:space="preserve">(expensive tissue trade-off hypothesis).</w:t>
      </w:r>
      <w:r>
        <w:t xml:space="preserve"> </w:t>
      </w:r>
      <w:r>
        <w:rPr>
          <w:b/>
          <w:bCs/>
        </w:rPr>
        <w:t xml:space="preserve">Humans are uniquely adapted to cooked food</w:t>
      </w:r>
      <w:r>
        <w:t xml:space="preserve">, with smaller jaws, teeth, and digestive tracts than predicted for body size among primates.</w:t>
      </w:r>
    </w:p>
    <w:bookmarkEnd w:id="168"/>
    <w:bookmarkStart w:id="169" w:name="X8ae0bcf275952d3855b8c214141e8520331d90e"/>
    <w:p>
      <w:pPr>
        <w:pStyle w:val="4"/>
      </w:pPr>
      <w:r>
        <w:t xml:space="preserve">7.1.3 Neanderthal versus Early Modern Human Dietary Strategies</w:t>
      </w:r>
    </w:p>
    <w:p>
      <w:pPr>
        <w:pStyle w:val="FirstParagraph"/>
      </w:pPr>
      <w:r>
        <w:rPr>
          <w:b/>
          <w:bCs/>
        </w:rPr>
        <w:t xml:space="preserve">Neanderthals and early modern humans coexisted in Europe and Western Asia for approximately 5,000–10,000 years</w:t>
      </w:r>
      <w:r>
        <w:t xml:space="preserve">, with</w:t>
      </w:r>
      <w:r>
        <w:t xml:space="preserve"> </w:t>
      </w:r>
      <w:r>
        <w:rPr>
          <w:b/>
          <w:bCs/>
        </w:rPr>
        <w:t xml:space="preserve">dietary differences potentially contributing to Neanderthal extinction</w:t>
      </w:r>
      <w:r>
        <w:t xml:space="preserve">:</w:t>
      </w:r>
    </w:p>
    <w:tbl>
      <w:tblPr>
        <w:tblStyle w:val="Table"/>
        <w:tblW w:type="pct" w:w="5000"/>
        <w:jc w:val="left"/>
        <w:tblLayout w:type="fixed"/>
        <w:tblLook w:firstRow="1" w:lastRow="0" w:firstColumn="0" w:lastColumn="0" w:noHBand="0" w:noVBand="0" w:val="0020"/>
      </w:tblPr>
      <w:tblGrid>
        <w:gridCol w:w="1667"/>
        <w:gridCol w:w="2292"/>
        <w:gridCol w:w="3960"/>
      </w:tblGrid>
      <w:tr>
        <w:trPr>
          <w:tblHeader w:val="on"/>
        </w:trPr>
        <w:tc>
          <w:tcPr/>
          <w:p>
            <w:pPr>
              <w:pStyle w:val="Compact"/>
              <w:jc w:val="left"/>
            </w:pPr>
            <w:r>
              <w:t xml:space="preserve">Aspect</w:t>
            </w:r>
          </w:p>
        </w:tc>
        <w:tc>
          <w:tcPr/>
          <w:p>
            <w:pPr>
              <w:pStyle w:val="Compact"/>
              <w:jc w:val="left"/>
            </w:pPr>
            <w:r>
              <w:t xml:space="preserve">Neanderthals</w:t>
            </w:r>
          </w:p>
        </w:tc>
        <w:tc>
          <w:tcPr/>
          <w:p>
            <w:pPr>
              <w:pStyle w:val="Compact"/>
              <w:jc w:val="left"/>
            </w:pPr>
            <w:r>
              <w:t xml:space="preserve">Early Modern Humans</w:t>
            </w:r>
          </w:p>
        </w:tc>
      </w:tr>
      <w:tr>
        <w:tc>
          <w:tcPr/>
          <w:p>
            <w:pPr>
              <w:pStyle w:val="Compact"/>
              <w:jc w:val="left"/>
            </w:pPr>
            <w:r>
              <w:rPr>
                <w:b/>
                <w:bCs/>
              </w:rPr>
              <w:t xml:space="preserve">Trophic level</w:t>
            </w:r>
          </w:p>
        </w:tc>
        <w:tc>
          <w:tcPr/>
          <w:p>
            <w:pPr>
              <w:pStyle w:val="Compact"/>
              <w:jc w:val="left"/>
            </w:pPr>
            <w:r>
              <w:t xml:space="preserve">Very high (meat-dominated, 80%+ in cold periods)</w:t>
            </w:r>
          </w:p>
        </w:tc>
        <w:tc>
          <w:tcPr/>
          <w:p>
            <w:pPr>
              <w:pStyle w:val="Compact"/>
              <w:jc w:val="left"/>
            </w:pPr>
            <w:r>
              <w:t xml:space="preserve">More flexible, broader diet</w:t>
            </w:r>
          </w:p>
        </w:tc>
      </w:tr>
      <w:tr>
        <w:tc>
          <w:tcPr/>
          <w:p>
            <w:pPr>
              <w:pStyle w:val="Compact"/>
              <w:jc w:val="left"/>
            </w:pPr>
            <w:r>
              <w:rPr>
                <w:b/>
                <w:bCs/>
              </w:rPr>
              <w:t xml:space="preserve">Plant food use</w:t>
            </w:r>
          </w:p>
        </w:tc>
        <w:tc>
          <w:tcPr/>
          <w:p>
            <w:pPr>
              <w:pStyle w:val="Compact"/>
              <w:jc w:val="left"/>
            </w:pPr>
            <w:r>
              <w:t xml:space="preserve">Present but limited; medicinal plants documented</w:t>
            </w:r>
          </w:p>
        </w:tc>
        <w:tc>
          <w:tcPr/>
          <w:p>
            <w:pPr>
              <w:pStyle w:val="Compact"/>
              <w:jc w:val="left"/>
            </w:pPr>
            <w:r>
              <w:t xml:space="preserve">Extensive; grinding stones for grain processing</w:t>
            </w:r>
          </w:p>
        </w:tc>
      </w:tr>
      <w:tr>
        <w:tc>
          <w:tcPr/>
          <w:p>
            <w:pPr>
              <w:pStyle w:val="Compact"/>
              <w:jc w:val="left"/>
            </w:pPr>
            <w:r>
              <w:rPr>
                <w:b/>
                <w:bCs/>
              </w:rPr>
              <w:t xml:space="preserve">Aquatic resources</w:t>
            </w:r>
          </w:p>
        </w:tc>
        <w:tc>
          <w:tcPr/>
          <w:p>
            <w:pPr>
              <w:pStyle w:val="Compact"/>
              <w:jc w:val="left"/>
            </w:pPr>
            <w:r>
              <w:t xml:space="preserve">Limited evidence; some coastal populations</w:t>
            </w:r>
          </w:p>
        </w:tc>
        <w:tc>
          <w:tcPr/>
          <w:p>
            <w:pPr>
              <w:pStyle w:val="Compact"/>
              <w:jc w:val="left"/>
            </w:pPr>
            <w:r>
              <w:t xml:space="preserve">Increasingly important; fish hooks, harpoons</w:t>
            </w:r>
          </w:p>
        </w:tc>
      </w:tr>
      <w:tr>
        <w:tc>
          <w:tcPr/>
          <w:p>
            <w:pPr>
              <w:pStyle w:val="Compact"/>
              <w:jc w:val="left"/>
            </w:pPr>
            <w:r>
              <w:rPr>
                <w:b/>
                <w:bCs/>
              </w:rPr>
              <w:t xml:space="preserve">Food storage</w:t>
            </w:r>
          </w:p>
        </w:tc>
        <w:tc>
          <w:tcPr/>
          <w:p>
            <w:pPr>
              <w:pStyle w:val="Compact"/>
              <w:jc w:val="left"/>
            </w:pPr>
            <w:r>
              <w:t xml:space="preserve">Minimal</w:t>
            </w:r>
          </w:p>
        </w:tc>
        <w:tc>
          <w:tcPr/>
          <w:p>
            <w:pPr>
              <w:pStyle w:val="Compact"/>
              <w:jc w:val="left"/>
            </w:pPr>
            <w:r>
              <w:t xml:space="preserve">More developed; drying, caching</w:t>
            </w:r>
          </w:p>
        </w:tc>
      </w:tr>
      <w:tr>
        <w:tc>
          <w:tcPr/>
          <w:p>
            <w:pPr>
              <w:pStyle w:val="Compact"/>
              <w:jc w:val="left"/>
            </w:pPr>
            <w:r>
              <w:rPr>
                <w:b/>
                <w:bCs/>
              </w:rPr>
              <w:t xml:space="preserve">Dietary risk</w:t>
            </w:r>
          </w:p>
        </w:tc>
        <w:tc>
          <w:tcPr/>
          <w:p>
            <w:pPr>
              <w:pStyle w:val="Compact"/>
              <w:jc w:val="left"/>
            </w:pPr>
            <w:r>
              <w:t xml:space="preserve">High dependence on large game; vulnerable to prey decline</w:t>
            </w:r>
          </w:p>
        </w:tc>
        <w:tc>
          <w:tcPr/>
          <w:p>
            <w:pPr>
              <w:pStyle w:val="Compact"/>
              <w:jc w:val="left"/>
            </w:pPr>
            <w:r>
              <w:t xml:space="preserve">Diversified risk through dietary breadth</w:t>
            </w:r>
          </w:p>
        </w:tc>
      </w:tr>
    </w:tbl>
    <w:p>
      <w:pPr>
        <w:pStyle w:val="a0"/>
      </w:pPr>
      <w:r>
        <w:rPr>
          <w:b/>
          <w:bCs/>
        </w:rPr>
        <w:t xml:space="preserve">Early modern human dietary flexibility—incorporating more plant foods, small game, fish, and shellfish—may have provided resilience during climatic fluctuations</w:t>
      </w:r>
      <w:r>
        <w:t xml:space="preserve"> </w:t>
      </w:r>
      <w:r>
        <w:t xml:space="preserve">that stressed Neanderthal populations dependent on large herbivores.</w:t>
      </w:r>
    </w:p>
    <w:bookmarkEnd w:id="169"/>
    <w:bookmarkEnd w:id="170"/>
    <w:bookmarkStart w:id="174" w:name="agricultural-and-industrial-revolutions"/>
    <w:p>
      <w:pPr>
        <w:pStyle w:val="3"/>
      </w:pPr>
      <w:r>
        <w:t xml:space="preserve">7.2 Agricultural and Industrial Revolutions</w:t>
      </w:r>
    </w:p>
    <w:bookmarkStart w:id="171" w:name="Xf5734da74a299c736c23143a18747d0f5321c70"/>
    <w:p>
      <w:pPr>
        <w:pStyle w:val="4"/>
      </w:pPr>
      <w:r>
        <w:t xml:space="preserve">7.2.1 Neolithic Transition: Cereal Domestication and Nutritional Trade-offs</w:t>
      </w:r>
    </w:p>
    <w:p>
      <w:pPr>
        <w:pStyle w:val="FirstParagraph"/>
      </w:pPr>
      <w:r>
        <w:t xml:space="preserve">The</w:t>
      </w:r>
      <w:r>
        <w:t xml:space="preserve"> </w:t>
      </w:r>
      <w:r>
        <w:rPr>
          <w:b/>
          <w:bCs/>
        </w:rPr>
        <w:t xml:space="preserve">Neolithic Revolution (~10,000 years ago) transformed human nutrition through plant and animal domestication</w:t>
      </w:r>
      <w:r>
        <w:t xml:space="preserve">:</w:t>
      </w:r>
    </w:p>
    <w:tbl>
      <w:tblPr>
        <w:tblStyle w:val="Table"/>
        <w:tblW w:type="pct" w:w="5000"/>
        <w:jc w:val="left"/>
        <w:tblLayout w:type="fixed"/>
        <w:tblLook w:firstRow="1" w:lastRow="0" w:firstColumn="0" w:lastColumn="0" w:noHBand="0" w:noVBand="0" w:val="0020"/>
      </w:tblPr>
      <w:tblGrid>
        <w:gridCol w:w="1193"/>
        <w:gridCol w:w="2603"/>
        <w:gridCol w:w="2061"/>
        <w:gridCol w:w="2061"/>
      </w:tblGrid>
      <w:tr>
        <w:trPr>
          <w:tblHeader w:val="on"/>
        </w:trPr>
        <w:tc>
          <w:tcPr/>
          <w:p>
            <w:pPr>
              <w:pStyle w:val="Compact"/>
              <w:jc w:val="left"/>
            </w:pPr>
            <w:r>
              <w:t xml:space="preserve">Crop/Animal</w:t>
            </w:r>
          </w:p>
        </w:tc>
        <w:tc>
          <w:tcPr/>
          <w:p>
            <w:pPr>
              <w:pStyle w:val="Compact"/>
              <w:jc w:val="left"/>
            </w:pPr>
            <w:r>
              <w:t xml:space="preserve">Region of Domestication</w:t>
            </w:r>
          </w:p>
        </w:tc>
        <w:tc>
          <w:tcPr/>
          <w:p>
            <w:pPr>
              <w:pStyle w:val="Compact"/>
              <w:jc w:val="left"/>
            </w:pPr>
            <w:r>
              <w:t xml:space="preserve">Nutritional Impact</w:t>
            </w:r>
          </w:p>
        </w:tc>
        <w:tc>
          <w:tcPr/>
          <w:p>
            <w:pPr>
              <w:pStyle w:val="Compact"/>
              <w:jc w:val="left"/>
            </w:pPr>
            <w:r>
              <w:t xml:space="preserve">Health Consequences</w:t>
            </w:r>
          </w:p>
        </w:tc>
      </w:tr>
      <w:tr>
        <w:tc>
          <w:tcPr/>
          <w:p>
            <w:pPr>
              <w:pStyle w:val="Compact"/>
              <w:jc w:val="left"/>
            </w:pPr>
            <w:r>
              <w:rPr>
                <w:b/>
                <w:bCs/>
              </w:rPr>
              <w:t xml:space="preserve">Wheat, barley</w:t>
            </w:r>
          </w:p>
        </w:tc>
        <w:tc>
          <w:tcPr/>
          <w:p>
            <w:pPr>
              <w:pStyle w:val="Compact"/>
              <w:jc w:val="left"/>
            </w:pPr>
            <w:r>
              <w:t xml:space="preserve">Fertile Crescent</w:t>
            </w:r>
          </w:p>
        </w:tc>
        <w:tc>
          <w:tcPr/>
          <w:p>
            <w:pPr>
              <w:pStyle w:val="Compact"/>
              <w:jc w:val="left"/>
            </w:pPr>
            <w:r>
              <w:t xml:space="preserve">Caloric surplus; storable surplus; population growth</w:t>
            </w:r>
          </w:p>
        </w:tc>
        <w:tc>
          <w:tcPr/>
          <w:p>
            <w:pPr>
              <w:pStyle w:val="Compact"/>
              <w:jc w:val="left"/>
            </w:pPr>
            <w:r>
              <w:t xml:space="preserve">Reduced dietary diversity; dental caries; iron deficiency; zoonotic diseases</w:t>
            </w:r>
          </w:p>
        </w:tc>
      </w:tr>
      <w:tr>
        <w:tc>
          <w:tcPr/>
          <w:p>
            <w:pPr>
              <w:pStyle w:val="Compact"/>
              <w:jc w:val="left"/>
            </w:pPr>
            <w:r>
              <w:rPr>
                <w:b/>
                <w:bCs/>
              </w:rPr>
              <w:t xml:space="preserve">Rice</w:t>
            </w:r>
          </w:p>
        </w:tc>
        <w:tc>
          <w:tcPr/>
          <w:p>
            <w:pPr>
              <w:pStyle w:val="Compact"/>
              <w:jc w:val="left"/>
            </w:pPr>
            <w:r>
              <w:t xml:space="preserve">Yangtze and Yellow River basins</w:t>
            </w:r>
          </w:p>
        </w:tc>
        <w:tc>
          <w:tcPr/>
          <w:p>
            <w:pPr>
              <w:pStyle w:val="Compact"/>
              <w:jc w:val="left"/>
            </w:pPr>
            <w:r>
              <w:t xml:space="preserve">High yield per hectare; supported dense populations</w:t>
            </w:r>
          </w:p>
        </w:tc>
        <w:tc>
          <w:tcPr/>
          <w:p>
            <w:pPr>
              <w:pStyle w:val="Compact"/>
              <w:jc w:val="left"/>
            </w:pPr>
            <w:r>
              <w:t xml:space="preserve">Beriberi (thiamine deficiency) with polishing; arsenic exposure in some regions</w:t>
            </w:r>
          </w:p>
        </w:tc>
      </w:tr>
      <w:tr>
        <w:tc>
          <w:tcPr/>
          <w:p>
            <w:pPr>
              <w:pStyle w:val="Compact"/>
              <w:jc w:val="left"/>
            </w:pPr>
            <w:r>
              <w:rPr>
                <w:b/>
                <w:bCs/>
              </w:rPr>
              <w:t xml:space="preserve">Maize</w:t>
            </w:r>
          </w:p>
        </w:tc>
        <w:tc>
          <w:tcPr/>
          <w:p>
            <w:pPr>
              <w:pStyle w:val="Compact"/>
              <w:jc w:val="left"/>
            </w:pPr>
            <w:r>
              <w:t xml:space="preserve">Mesoamerica</w:t>
            </w:r>
          </w:p>
        </w:tc>
        <w:tc>
          <w:tcPr/>
          <w:p>
            <w:pPr>
              <w:pStyle w:val="Compact"/>
              <w:jc w:val="left"/>
            </w:pPr>
            <w:r>
              <w:t xml:space="preserve">High yield; supported complex civilizations</w:t>
            </w:r>
          </w:p>
        </w:tc>
        <w:tc>
          <w:tcPr/>
          <w:p>
            <w:pPr>
              <w:pStyle w:val="Compact"/>
              <w:jc w:val="left"/>
            </w:pPr>
            <w:r>
              <w:t xml:space="preserve">Pellagra (niacin deficiency) without nixtamalization; protein quality limitations</w:t>
            </w:r>
          </w:p>
        </w:tc>
      </w:tr>
      <w:tr>
        <w:tc>
          <w:tcPr/>
          <w:p>
            <w:pPr>
              <w:pStyle w:val="Compact"/>
              <w:jc w:val="left"/>
            </w:pPr>
            <w:r>
              <w:rPr>
                <w:b/>
                <w:bCs/>
              </w:rPr>
              <w:t xml:space="preserve">Potatoes</w:t>
            </w:r>
          </w:p>
        </w:tc>
        <w:tc>
          <w:tcPr/>
          <w:p>
            <w:pPr>
              <w:pStyle w:val="Compact"/>
              <w:jc w:val="left"/>
            </w:pPr>
            <w:r>
              <w:t xml:space="preserve">Andes</w:t>
            </w:r>
          </w:p>
        </w:tc>
        <w:tc>
          <w:tcPr/>
          <w:p>
            <w:pPr>
              <w:pStyle w:val="Compact"/>
              <w:jc w:val="left"/>
            </w:pPr>
            <w:r>
              <w:t xml:space="preserve">Caloric dense; supported population in marginal environments</w:t>
            </w:r>
          </w:p>
        </w:tc>
        <w:tc>
          <w:tcPr/>
          <w:p>
            <w:pPr>
              <w:pStyle w:val="Compact"/>
              <w:jc w:val="left"/>
            </w:pPr>
            <w:r>
              <w:t xml:space="preserve">Glycoalkaloid toxicity; late blight vulnerability (Irish famine)</w:t>
            </w:r>
          </w:p>
        </w:tc>
      </w:tr>
      <w:tr>
        <w:tc>
          <w:tcPr/>
          <w:p>
            <w:pPr>
              <w:pStyle w:val="Compact"/>
              <w:jc w:val="left"/>
            </w:pPr>
            <w:r>
              <w:rPr>
                <w:b/>
                <w:bCs/>
              </w:rPr>
              <w:t xml:space="preserve">Cattle, pigs, sheep, goats</w:t>
            </w:r>
          </w:p>
        </w:tc>
        <w:tc>
          <w:tcPr/>
          <w:p>
            <w:pPr>
              <w:pStyle w:val="Compact"/>
              <w:jc w:val="left"/>
            </w:pPr>
            <w:r>
              <w:t xml:space="preserve">Multiple centers</w:t>
            </w:r>
          </w:p>
        </w:tc>
        <w:tc>
          <w:tcPr/>
          <w:p>
            <w:pPr>
              <w:pStyle w:val="Compact"/>
              <w:jc w:val="left"/>
            </w:pPr>
            <w:r>
              <w:t xml:space="preserve">Reliable protein, fat, dairy; traction and manure</w:t>
            </w:r>
          </w:p>
        </w:tc>
        <w:tc>
          <w:tcPr/>
          <w:p>
            <w:pPr>
              <w:pStyle w:val="Compact"/>
              <w:jc w:val="left"/>
            </w:pPr>
            <w:r>
              <w:t xml:space="preserve">Zoonotic diseases (tuberculosis, measles, influenza); lactase persistence selection</w:t>
            </w:r>
          </w:p>
        </w:tc>
      </w:tr>
    </w:tbl>
    <w:p>
      <w:pPr>
        <w:pStyle w:val="a0"/>
      </w:pPr>
      <w:r>
        <w:rPr>
          <w:b/>
          <w:bCs/>
        </w:rPr>
        <w:t xml:space="preserve">The</w:t>
      </w:r>
      <w:r>
        <w:rPr>
          <w:b/>
          <w:bCs/>
        </w:rPr>
        <w:t xml:space="preserve"> </w:t>
      </w:r>
      <w:r>
        <w:rPr>
          <w:b/>
          <w:bCs/>
        </w:rPr>
        <w:t xml:space="preserve">“</w:t>
      </w:r>
      <w:r>
        <w:rPr>
          <w:b/>
          <w:bCs/>
        </w:rPr>
        <w:t xml:space="preserve">Neolithic demographic transition</w:t>
      </w:r>
      <w:r>
        <w:rPr>
          <w:b/>
          <w:bCs/>
        </w:rPr>
        <w:t xml:space="preserve">”</w:t>
      </w:r>
      <w:r>
        <w:t xml:space="preserve">—population growth despite reduced individual health—illustrates the</w:t>
      </w:r>
      <w:r>
        <w:t xml:space="preserve"> </w:t>
      </w:r>
      <w:r>
        <w:rPr>
          <w:b/>
          <w:bCs/>
        </w:rPr>
        <w:t xml:space="preserve">trade-off between quantity and quality of nutrition</w:t>
      </w:r>
      <w:r>
        <w:t xml:space="preserve">.</w:t>
      </w:r>
      <w:r>
        <w:t xml:space="preserve"> </w:t>
      </w:r>
      <w:r>
        <w:rPr>
          <w:b/>
          <w:bCs/>
        </w:rPr>
        <w:t xml:space="preserve">Skeletal evidence shows</w:t>
      </w:r>
      <w:r>
        <w:t xml:space="preserve">:</w:t>
      </w:r>
      <w:r>
        <w:t xml:space="preserve"> </w:t>
      </w:r>
      <w:r>
        <w:rPr>
          <w:b/>
          <w:bCs/>
        </w:rPr>
        <w:t xml:space="preserve">reduced stature</w:t>
      </w:r>
      <w:r>
        <w:t xml:space="preserve"> </w:t>
      </w:r>
      <w:r>
        <w:t xml:space="preserve">(1–2 inches compared to Paleolithic);</w:t>
      </w:r>
      <w:r>
        <w:t xml:space="preserve"> </w:t>
      </w:r>
      <w:r>
        <w:rPr>
          <w:b/>
          <w:bCs/>
        </w:rPr>
        <w:t xml:space="preserve">increased dental pathology</w:t>
      </w:r>
      <w:r>
        <w:t xml:space="preserve">;</w:t>
      </w:r>
      <w:r>
        <w:t xml:space="preserve"> </w:t>
      </w:r>
      <w:r>
        <w:rPr>
          <w:b/>
          <w:bCs/>
        </w:rPr>
        <w:t xml:space="preserve">infectious disease markers</w:t>
      </w:r>
      <w:r>
        <w:t xml:space="preserve"> </w:t>
      </w:r>
      <w:r>
        <w:t xml:space="preserve">(periosteal reactions, cribra orbitalia from iron deficiency);</w:t>
      </w:r>
      <w:r>
        <w:t xml:space="preserve"> </w:t>
      </w:r>
      <w:r>
        <w:rPr>
          <w:b/>
          <w:bCs/>
        </w:rPr>
        <w:t xml:space="preserve">osteoarthritis from repetitive labor</w:t>
      </w:r>
      <w:r>
        <w:t xml:space="preserve">; but</w:t>
      </w:r>
      <w:r>
        <w:t xml:space="preserve"> </w:t>
      </w:r>
      <w:r>
        <w:rPr>
          <w:b/>
          <w:bCs/>
        </w:rPr>
        <w:t xml:space="preserve">reduced violent trauma</w:t>
      </w:r>
      <w:r>
        <w:t xml:space="preserve"> </w:t>
      </w:r>
      <w:r>
        <w:t xml:space="preserve">(sedentism enabled social complexity).</w:t>
      </w:r>
    </w:p>
    <w:bookmarkEnd w:id="171"/>
    <w:bookmarkStart w:id="172" w:name="Xe797126870229840943a64782841c3193feafba"/>
    <w:p>
      <w:pPr>
        <w:pStyle w:val="4"/>
      </w:pPr>
      <w:r>
        <w:t xml:space="preserve">7.2.2 Medieval Dietary Stratification: Class-Based Food Access</w:t>
      </w:r>
    </w:p>
    <w:p>
      <w:pPr>
        <w:pStyle w:val="FirstParagraph"/>
      </w:pPr>
      <w:r>
        <w:rPr>
          <w:b/>
          <w:bCs/>
        </w:rPr>
        <w:t xml:space="preserve">Pre-industrial agricultural societies exhibited extreme dietary stratification</w:t>
      </w:r>
      <w:r>
        <w:t xml:space="preserve">:</w:t>
      </w:r>
    </w:p>
    <w:tbl>
      <w:tblPr>
        <w:tblStyle w:val="Table"/>
        <w:tblW w:type="pct" w:w="5000"/>
        <w:jc w:val="left"/>
        <w:tblLayout w:type="fixed"/>
        <w:tblLook w:firstRow="1" w:lastRow="0" w:firstColumn="0" w:lastColumn="0" w:noHBand="0" w:noVBand="0" w:val="0020"/>
      </w:tblPr>
      <w:tblGrid>
        <w:gridCol w:w="2233"/>
        <w:gridCol w:w="2233"/>
        <w:gridCol w:w="3452"/>
      </w:tblGrid>
      <w:tr>
        <w:trPr>
          <w:tblHeader w:val="on"/>
        </w:trPr>
        <w:tc>
          <w:tcPr/>
          <w:p>
            <w:pPr>
              <w:pStyle w:val="Compact"/>
              <w:jc w:val="left"/>
            </w:pPr>
            <w:r>
              <w:t xml:space="preserve">Social Class</w:t>
            </w:r>
          </w:p>
        </w:tc>
        <w:tc>
          <w:tcPr/>
          <w:p>
            <w:pPr>
              <w:pStyle w:val="Compact"/>
              <w:jc w:val="left"/>
            </w:pPr>
            <w:r>
              <w:t xml:space="preserve">Typical Diet</w:t>
            </w:r>
          </w:p>
        </w:tc>
        <w:tc>
          <w:tcPr/>
          <w:p>
            <w:pPr>
              <w:pStyle w:val="Compact"/>
              <w:jc w:val="left"/>
            </w:pPr>
            <w:r>
              <w:t xml:space="preserve">Nutritional Status</w:t>
            </w:r>
          </w:p>
        </w:tc>
      </w:tr>
      <w:tr>
        <w:tc>
          <w:tcPr/>
          <w:p>
            <w:pPr>
              <w:pStyle w:val="Compact"/>
              <w:jc w:val="left"/>
            </w:pPr>
            <w:r>
              <w:rPr>
                <w:b/>
                <w:bCs/>
              </w:rPr>
              <w:t xml:space="preserve">Peasantry</w:t>
            </w:r>
          </w:p>
        </w:tc>
        <w:tc>
          <w:tcPr/>
          <w:p>
            <w:pPr>
              <w:pStyle w:val="Compact"/>
              <w:jc w:val="left"/>
            </w:pPr>
            <w:r>
              <w:t xml:space="preserve">Cereals (80%+ calories), legumes, vegetables; meat rarely; seasonal hunger</w:t>
            </w:r>
          </w:p>
        </w:tc>
        <w:tc>
          <w:tcPr/>
          <w:p>
            <w:pPr>
              <w:pStyle w:val="Compact"/>
              <w:jc w:val="left"/>
            </w:pPr>
            <w:r>
              <w:t xml:space="preserve">Chronic energy and protein deficiency; micronutrient deficiencies (vitamin A, iron, calcium); stunted growth</w:t>
            </w:r>
          </w:p>
        </w:tc>
      </w:tr>
      <w:tr>
        <w:tc>
          <w:tcPr/>
          <w:p>
            <w:pPr>
              <w:pStyle w:val="Compact"/>
              <w:jc w:val="left"/>
            </w:pPr>
            <w:r>
              <w:rPr>
                <w:b/>
                <w:bCs/>
              </w:rPr>
              <w:t xml:space="preserve">Urban poor</w:t>
            </w:r>
          </w:p>
        </w:tc>
        <w:tc>
          <w:tcPr/>
          <w:p>
            <w:pPr>
              <w:pStyle w:val="Compact"/>
              <w:jc w:val="left"/>
            </w:pPr>
            <w:r>
              <w:t xml:space="preserve">Bread, ale, small amounts of fat; limited fresh foods</w:t>
            </w:r>
          </w:p>
        </w:tc>
        <w:tc>
          <w:tcPr/>
          <w:p>
            <w:pPr>
              <w:pStyle w:val="Compact"/>
              <w:jc w:val="left"/>
            </w:pPr>
            <w:r>
              <w:t xml:space="preserve">Similar to peasantry plus urban disease exposure; rickets with limited sun</w:t>
            </w:r>
          </w:p>
        </w:tc>
      </w:tr>
      <w:tr>
        <w:tc>
          <w:tcPr/>
          <w:p>
            <w:pPr>
              <w:pStyle w:val="Compact"/>
              <w:jc w:val="left"/>
            </w:pPr>
            <w:r>
              <w:rPr>
                <w:b/>
                <w:bCs/>
              </w:rPr>
              <w:t xml:space="preserve">Middle classes (artisans, merchants)</w:t>
            </w:r>
          </w:p>
        </w:tc>
        <w:tc>
          <w:tcPr/>
          <w:p>
            <w:pPr>
              <w:pStyle w:val="Compact"/>
              <w:jc w:val="left"/>
            </w:pPr>
            <w:r>
              <w:t xml:space="preserve">More varied; meat several times weekly; some dairy; imported spices</w:t>
            </w:r>
          </w:p>
        </w:tc>
        <w:tc>
          <w:tcPr/>
          <w:p>
            <w:pPr>
              <w:pStyle w:val="Compact"/>
              <w:jc w:val="left"/>
            </w:pPr>
            <w:r>
              <w:t xml:space="preserve">Generally adequate; obesity emerging in prosperous</w:t>
            </w:r>
          </w:p>
        </w:tc>
      </w:tr>
      <w:tr>
        <w:tc>
          <w:tcPr/>
          <w:p>
            <w:pPr>
              <w:pStyle w:val="Compact"/>
              <w:jc w:val="left"/>
            </w:pPr>
            <w:r>
              <w:rPr>
                <w:b/>
                <w:bCs/>
              </w:rPr>
              <w:t xml:space="preserve">Nobility/aristocracy</w:t>
            </w:r>
          </w:p>
        </w:tc>
        <w:tc>
          <w:tcPr/>
          <w:p>
            <w:pPr>
              <w:pStyle w:val="Compact"/>
              <w:jc w:val="left"/>
            </w:pPr>
            <w:r>
              <w:t xml:space="preserve">Meat-heavy; white bread; sugar (increasingly); alcohol abundant; imported luxuries</w:t>
            </w:r>
          </w:p>
        </w:tc>
        <w:tc>
          <w:tcPr/>
          <w:p>
            <w:pPr>
              <w:pStyle w:val="Compact"/>
              <w:jc w:val="left"/>
            </w:pPr>
            <w:r>
              <w:t xml:space="preserve">Protein and energy excess; gout (purine-rich meat and alcohol); scurvy (limited fresh foods in winter); lead poisoning (sugar of lead, pewter)</w:t>
            </w:r>
          </w:p>
        </w:tc>
      </w:tr>
    </w:tbl>
    <w:p>
      <w:pPr>
        <w:pStyle w:val="a0"/>
      </w:pPr>
      <w:r>
        <w:rPr>
          <w:b/>
          <w:bCs/>
        </w:rPr>
        <w:t xml:space="preserve">The</w:t>
      </w:r>
      <w:r>
        <w:rPr>
          <w:b/>
          <w:bCs/>
        </w:rPr>
        <w:t xml:space="preserve"> </w:t>
      </w:r>
      <w:r>
        <w:rPr>
          <w:b/>
          <w:bCs/>
        </w:rPr>
        <w:t xml:space="preserve">“</w:t>
      </w:r>
      <w:r>
        <w:rPr>
          <w:b/>
          <w:bCs/>
        </w:rPr>
        <w:t xml:space="preserve">diseases of affluence</w:t>
      </w:r>
      <w:r>
        <w:rPr>
          <w:b/>
          <w:bCs/>
        </w:rPr>
        <w:t xml:space="preserve">”</w:t>
      </w:r>
      <w:r>
        <w:rPr>
          <w:b/>
          <w:bCs/>
        </w:rPr>
        <w:t xml:space="preserve"> </w:t>
      </w:r>
      <w:r>
        <w:rPr>
          <w:b/>
          <w:bCs/>
        </w:rPr>
        <w:t xml:space="preserve">(gout, obesity, diabetes) and</w:t>
      </w:r>
      <w:r>
        <w:rPr>
          <w:b/>
          <w:bCs/>
        </w:rPr>
        <w:t xml:space="preserve"> </w:t>
      </w:r>
      <w:r>
        <w:rPr>
          <w:b/>
          <w:bCs/>
        </w:rPr>
        <w:t xml:space="preserve">“</w:t>
      </w:r>
      <w:r>
        <w:rPr>
          <w:b/>
          <w:bCs/>
        </w:rPr>
        <w:t xml:space="preserve">diseases of poverty</w:t>
      </w:r>
      <w:r>
        <w:rPr>
          <w:b/>
          <w:bCs/>
        </w:rPr>
        <w:t xml:space="preserve">”</w:t>
      </w:r>
      <w:r>
        <w:rPr>
          <w:b/>
          <w:bCs/>
        </w:rPr>
        <w:t xml:space="preserve"> </w:t>
      </w:r>
      <w:r>
        <w:rPr>
          <w:b/>
          <w:bCs/>
        </w:rPr>
        <w:t xml:space="preserve">(rickets, pellagra, beriberi) coexisted</w:t>
      </w:r>
      <w:r>
        <w:t xml:space="preserve">, demonstrating that</w:t>
      </w:r>
      <w:r>
        <w:t xml:space="preserve"> </w:t>
      </w:r>
      <w:r>
        <w:rPr>
          <w:b/>
          <w:bCs/>
        </w:rPr>
        <w:t xml:space="preserve">malnutrition takes multiple forms across socioeconomic gradients</w:t>
      </w:r>
      <w:r>
        <w:t xml:space="preserve">.</w:t>
      </w:r>
    </w:p>
    <w:bookmarkEnd w:id="172"/>
    <w:bookmarkStart w:id="173" w:name="X20f1db61d79da514a74832e8329fae08beef4a9"/>
    <w:p>
      <w:pPr>
        <w:pStyle w:val="4"/>
      </w:pPr>
      <w:r>
        <w:t xml:space="preserve">7.2.3 Industrial Processing: Refined Carbohydrates and Chronic Disease Emergence</w:t>
      </w:r>
    </w:p>
    <w:p>
      <w:pPr>
        <w:pStyle w:val="FirstParagraph"/>
      </w:pPr>
      <w:r>
        <w:t xml:space="preserve">The</w:t>
      </w:r>
      <w:r>
        <w:t xml:space="preserve"> </w:t>
      </w:r>
      <w:r>
        <w:rPr>
          <w:b/>
          <w:bCs/>
        </w:rPr>
        <w:t xml:space="preserve">Industrial Revolution (late 18th–19th centuries) introduced mass food processing with profound nutritional consequences</w:t>
      </w:r>
      <w:r>
        <w:t xml:space="preserve">:</w:t>
      </w:r>
    </w:p>
    <w:tbl>
      <w:tblPr>
        <w:tblStyle w:val="Table"/>
        <w:tblW w:type="pct" w:w="5000"/>
        <w:jc w:val="left"/>
        <w:tblLayout w:type="fixed"/>
        <w:tblLook w:firstRow="1" w:lastRow="0" w:firstColumn="0" w:lastColumn="0" w:noHBand="0" w:noVBand="0" w:val="0020"/>
      </w:tblPr>
      <w:tblGrid>
        <w:gridCol w:w="2420"/>
        <w:gridCol w:w="1320"/>
        <w:gridCol w:w="4180"/>
      </w:tblGrid>
      <w:tr>
        <w:trPr>
          <w:tblHeader w:val="on"/>
        </w:trPr>
        <w:tc>
          <w:tcPr/>
          <w:p>
            <w:pPr>
              <w:pStyle w:val="Compact"/>
              <w:jc w:val="left"/>
            </w:pPr>
            <w:r>
              <w:t xml:space="preserve">Innovation</w:t>
            </w:r>
          </w:p>
        </w:tc>
        <w:tc>
          <w:tcPr/>
          <w:p>
            <w:pPr>
              <w:pStyle w:val="Compact"/>
              <w:jc w:val="left"/>
            </w:pPr>
            <w:r>
              <w:t xml:space="preserve">Year</w:t>
            </w:r>
          </w:p>
        </w:tc>
        <w:tc>
          <w:tcPr/>
          <w:p>
            <w:pPr>
              <w:pStyle w:val="Compact"/>
              <w:jc w:val="left"/>
            </w:pPr>
            <w:r>
              <w:t xml:space="preserve">Nutritional Impact</w:t>
            </w:r>
          </w:p>
        </w:tc>
      </w:tr>
      <w:tr>
        <w:tc>
          <w:tcPr/>
          <w:p>
            <w:pPr>
              <w:pStyle w:val="Compact"/>
              <w:jc w:val="left"/>
            </w:pPr>
            <w:r>
              <w:rPr>
                <w:b/>
                <w:bCs/>
              </w:rPr>
              <w:t xml:space="preserve">Steel roller milling</w:t>
            </w:r>
          </w:p>
        </w:tc>
        <w:tc>
          <w:tcPr/>
          <w:p>
            <w:pPr>
              <w:pStyle w:val="Compact"/>
              <w:jc w:val="left"/>
            </w:pPr>
            <w:r>
              <w:t xml:space="preserve">1870s</w:t>
            </w:r>
          </w:p>
        </w:tc>
        <w:tc>
          <w:tcPr/>
          <w:p>
            <w:pPr>
              <w:pStyle w:val="Compact"/>
              <w:jc w:val="left"/>
            </w:pPr>
            <w:r>
              <w:t xml:space="preserve">White flour became affordable for all classes; removed bran and germ (fiber, B-vitamins, minerals); beriberi epidemic</w:t>
            </w:r>
          </w:p>
        </w:tc>
      </w:tr>
      <w:tr>
        <w:tc>
          <w:tcPr/>
          <w:p>
            <w:pPr>
              <w:pStyle w:val="Compact"/>
              <w:jc w:val="left"/>
            </w:pPr>
            <w:r>
              <w:rPr>
                <w:b/>
                <w:bCs/>
              </w:rPr>
              <w:t xml:space="preserve">Sugar beet refining</w:t>
            </w:r>
          </w:p>
        </w:tc>
        <w:tc>
          <w:tcPr/>
          <w:p>
            <w:pPr>
              <w:pStyle w:val="Compact"/>
              <w:jc w:val="left"/>
            </w:pPr>
            <w:r>
              <w:t xml:space="preserve">Early 19th century</w:t>
            </w:r>
          </w:p>
        </w:tc>
        <w:tc>
          <w:tcPr/>
          <w:p>
            <w:pPr>
              <w:pStyle w:val="Compact"/>
              <w:jc w:val="left"/>
            </w:pPr>
            <w:r>
              <w:t xml:space="preserve">Dramatically reduced sugar cost; per capita consumption increased 10-fold; dental caries epidemic</w:t>
            </w:r>
          </w:p>
        </w:tc>
      </w:tr>
      <w:tr>
        <w:tc>
          <w:tcPr/>
          <w:p>
            <w:pPr>
              <w:pStyle w:val="Compact"/>
              <w:jc w:val="left"/>
            </w:pPr>
            <w:r>
              <w:rPr>
                <w:b/>
                <w:bCs/>
              </w:rPr>
              <w:t xml:space="preserve">Canning, pasteurization</w:t>
            </w:r>
          </w:p>
        </w:tc>
        <w:tc>
          <w:tcPr/>
          <w:p>
            <w:pPr>
              <w:pStyle w:val="Compact"/>
              <w:jc w:val="left"/>
            </w:pPr>
            <w:r>
              <w:t xml:space="preserve">Mid-19th century</w:t>
            </w:r>
          </w:p>
        </w:tc>
        <w:tc>
          <w:tcPr/>
          <w:p>
            <w:pPr>
              <w:pStyle w:val="Compact"/>
              <w:jc w:val="left"/>
            </w:pPr>
            <w:r>
              <w:t xml:space="preserve">Extended food preservation; reduced seasonal scarcity; some nutrient losses</w:t>
            </w:r>
          </w:p>
        </w:tc>
      </w:tr>
      <w:tr>
        <w:tc>
          <w:tcPr/>
          <w:p>
            <w:pPr>
              <w:pStyle w:val="Compact"/>
              <w:jc w:val="left"/>
            </w:pPr>
            <w:r>
              <w:rPr>
                <w:b/>
                <w:bCs/>
              </w:rPr>
              <w:t xml:space="preserve">Margarine (hydrogenation)</w:t>
            </w:r>
          </w:p>
        </w:tc>
        <w:tc>
          <w:tcPr/>
          <w:p>
            <w:pPr>
              <w:pStyle w:val="Compact"/>
              <w:jc w:val="left"/>
            </w:pPr>
            <w:r>
              <w:t xml:space="preserve">1869</w:t>
            </w:r>
          </w:p>
        </w:tc>
        <w:tc>
          <w:tcPr/>
          <w:p>
            <w:pPr>
              <w:pStyle w:val="Compact"/>
              <w:jc w:val="left"/>
            </w:pPr>
            <w:r>
              <w:t xml:space="preserve">Cheap butter substitute; trans-fat introduction; vitamin A fortification later</w:t>
            </w:r>
          </w:p>
        </w:tc>
      </w:tr>
      <w:tr>
        <w:tc>
          <w:tcPr/>
          <w:p>
            <w:pPr>
              <w:pStyle w:val="Compact"/>
              <w:jc w:val="left"/>
            </w:pPr>
            <w:r>
              <w:rPr>
                <w:b/>
                <w:bCs/>
              </w:rPr>
              <w:t xml:space="preserve">Synthetic vitamins</w:t>
            </w:r>
          </w:p>
        </w:tc>
        <w:tc>
          <w:tcPr/>
          <w:p>
            <w:pPr>
              <w:pStyle w:val="Compact"/>
              <w:jc w:val="left"/>
            </w:pPr>
            <w:r>
              <w:t xml:space="preserve">1930s–1940s</w:t>
            </w:r>
          </w:p>
        </w:tc>
        <w:tc>
          <w:tcPr/>
          <w:p>
            <w:pPr>
              <w:pStyle w:val="Compact"/>
              <w:jc w:val="left"/>
            </w:pPr>
            <w:r>
              <w:t xml:space="preserve">Eliminated deficiency diseases (beriberi, pellagra, rickets, scurvy) through fortification</w:t>
            </w:r>
          </w:p>
        </w:tc>
      </w:tr>
    </w:tbl>
    <w:p>
      <w:pPr>
        <w:pStyle w:val="a0"/>
      </w:pPr>
      <w:r>
        <w:rPr>
          <w:b/>
          <w:bCs/>
        </w:rPr>
        <w:t xml:space="preserve">The</w:t>
      </w:r>
      <w:r>
        <w:rPr>
          <w:b/>
          <w:bCs/>
        </w:rPr>
        <w:t xml:space="preserve"> </w:t>
      </w:r>
      <w:r>
        <w:rPr>
          <w:b/>
          <w:bCs/>
        </w:rPr>
        <w:t xml:space="preserve">“</w:t>
      </w:r>
      <w:r>
        <w:rPr>
          <w:b/>
          <w:bCs/>
        </w:rPr>
        <w:t xml:space="preserve">nutrition transition</w:t>
      </w:r>
      <w:r>
        <w:rPr>
          <w:b/>
          <w:bCs/>
        </w:rPr>
        <w:t xml:space="preserve">”</w:t>
      </w:r>
      <w:r>
        <w:rPr>
          <w:b/>
          <w:bCs/>
        </w:rPr>
        <w:t xml:space="preserve"> </w:t>
      </w:r>
      <w:r>
        <w:rPr>
          <w:b/>
          <w:bCs/>
        </w:rPr>
        <w:t xml:space="preserve">in industrializing nations</w:t>
      </w:r>
      <w:r>
        <w:t xml:space="preserve">—shift from traditional diets to processed, Western-pattern diets—</w:t>
      </w:r>
      <w:r>
        <w:rPr>
          <w:b/>
          <w:bCs/>
        </w:rPr>
        <w:t xml:space="preserve">tracks with emergence of obesity, type 2 diabetes, and cardiovascular disease as major causes of mortality</w:t>
      </w:r>
      <w:r>
        <w:t xml:space="preserve">. This pattern is now</w:t>
      </w:r>
      <w:r>
        <w:t xml:space="preserve"> </w:t>
      </w:r>
      <w:r>
        <w:rPr>
          <w:b/>
          <w:bCs/>
        </w:rPr>
        <w:t xml:space="preserve">repeating in low- and middle-income countries undergoing rapid economic development</w:t>
      </w:r>
      <w:r>
        <w:t xml:space="preserve">.</w:t>
      </w:r>
    </w:p>
    <w:bookmarkEnd w:id="173"/>
    <w:bookmarkEnd w:id="174"/>
    <w:bookmarkStart w:id="178" w:name="traditional-food-systems-and-wisdom"/>
    <w:p>
      <w:pPr>
        <w:pStyle w:val="3"/>
      </w:pPr>
      <w:r>
        <w:t xml:space="preserve">7.3 Traditional Food Systems and Wisdom</w:t>
      </w:r>
    </w:p>
    <w:bookmarkStart w:id="175" w:name="fermentation-and-preservation-techniques"/>
    <w:p>
      <w:pPr>
        <w:pStyle w:val="4"/>
      </w:pPr>
      <w:r>
        <w:t xml:space="preserve">7.3.1 Fermentation and Preservation Techniques</w:t>
      </w:r>
    </w:p>
    <w:p>
      <w:pPr>
        <w:pStyle w:val="FirstParagraph"/>
      </w:pPr>
      <w:r>
        <w:rPr>
          <w:b/>
          <w:bCs/>
        </w:rPr>
        <w:t xml:space="preserve">Traditional fermentation represents sophisticated biotechnology developed across cultures</w:t>
      </w:r>
      <w:r>
        <w:t xml:space="preserve">:</w:t>
      </w:r>
    </w:p>
    <w:tbl>
      <w:tblPr>
        <w:tblStyle w:val="Table"/>
        <w:tblW w:type="pct" w:w="5000"/>
        <w:jc w:val="left"/>
        <w:tblLayout w:type="fixed"/>
        <w:tblLook w:firstRow="1" w:lastRow="0" w:firstColumn="0" w:lastColumn="0" w:noHBand="0" w:noVBand="0" w:val="0020"/>
      </w:tblPr>
      <w:tblGrid>
        <w:gridCol w:w="2007"/>
        <w:gridCol w:w="1784"/>
        <w:gridCol w:w="1450"/>
        <w:gridCol w:w="2677"/>
      </w:tblGrid>
      <w:tr>
        <w:trPr>
          <w:tblHeader w:val="on"/>
        </w:trPr>
        <w:tc>
          <w:tcPr/>
          <w:p>
            <w:pPr>
              <w:pStyle w:val="Compact"/>
              <w:jc w:val="left"/>
            </w:pPr>
            <w:r>
              <w:t xml:space="preserve">Fermentation Type</w:t>
            </w:r>
          </w:p>
        </w:tc>
        <w:tc>
          <w:tcPr/>
          <w:p>
            <w:pPr>
              <w:pStyle w:val="Compact"/>
              <w:jc w:val="left"/>
            </w:pPr>
            <w:r>
              <w:t xml:space="preserve">Product Examples</w:t>
            </w:r>
          </w:p>
        </w:tc>
        <w:tc>
          <w:tcPr/>
          <w:p>
            <w:pPr>
              <w:pStyle w:val="Compact"/>
              <w:jc w:val="left"/>
            </w:pPr>
            <w:r>
              <w:t xml:space="preserve">Microorganisms</w:t>
            </w:r>
          </w:p>
        </w:tc>
        <w:tc>
          <w:tcPr/>
          <w:p>
            <w:pPr>
              <w:pStyle w:val="Compact"/>
              <w:jc w:val="left"/>
            </w:pPr>
            <w:r>
              <w:t xml:space="preserve">Nutritional Enhancement</w:t>
            </w:r>
          </w:p>
        </w:tc>
      </w:tr>
      <w:tr>
        <w:tc>
          <w:tcPr/>
          <w:p>
            <w:pPr>
              <w:pStyle w:val="Compact"/>
              <w:jc w:val="left"/>
            </w:pPr>
            <w:r>
              <w:rPr>
                <w:b/>
                <w:bCs/>
              </w:rPr>
              <w:t xml:space="preserve">Lactic acid fermentation</w:t>
            </w:r>
          </w:p>
        </w:tc>
        <w:tc>
          <w:tcPr/>
          <w:p>
            <w:pPr>
              <w:pStyle w:val="Compact"/>
              <w:jc w:val="left"/>
            </w:pPr>
            <w:r>
              <w:t xml:space="preserve">Sauerkraut, kimchi, pickles, yogurt, kefir, cheese</w:t>
            </w:r>
          </w:p>
        </w:tc>
        <w:tc>
          <w:tcPr/>
          <w:p>
            <w:pPr>
              <w:pStyle w:val="Compact"/>
              <w:jc w:val="left"/>
            </w:pPr>
            <w:r>
              <w:t xml:space="preserve">Lactobacillus, Lactococcus, Leuconostoc</w:t>
            </w:r>
          </w:p>
        </w:tc>
        <w:tc>
          <w:tcPr/>
          <w:p>
            <w:pPr>
              <w:pStyle w:val="Compact"/>
              <w:jc w:val="left"/>
            </w:pPr>
            <w:r>
              <w:t xml:space="preserve">Probiotic cultures; B-vitamin synthesis; reduced antinutrients; improved mineral bioavailability; lactose reduction</w:t>
            </w:r>
          </w:p>
        </w:tc>
      </w:tr>
      <w:tr>
        <w:tc>
          <w:tcPr/>
          <w:p>
            <w:pPr>
              <w:pStyle w:val="Compact"/>
              <w:jc w:val="left"/>
            </w:pPr>
            <w:r>
              <w:rPr>
                <w:b/>
                <w:bCs/>
              </w:rPr>
              <w:t xml:space="preserve">Alcoholic fermentation</w:t>
            </w:r>
          </w:p>
        </w:tc>
        <w:tc>
          <w:tcPr/>
          <w:p>
            <w:pPr>
              <w:pStyle w:val="Compact"/>
              <w:jc w:val="left"/>
            </w:pPr>
            <w:r>
              <w:t xml:space="preserve">Wine, beer, sake, pulque, toddy</w:t>
            </w:r>
          </w:p>
        </w:tc>
        <w:tc>
          <w:tcPr/>
          <w:p>
            <w:pPr>
              <w:pStyle w:val="Compact"/>
              <w:jc w:val="left"/>
            </w:pPr>
            <w:r>
              <w:t xml:space="preserve">Saccharomyces cerevisiae, other yeasts</w:t>
            </w:r>
          </w:p>
        </w:tc>
        <w:tc>
          <w:tcPr/>
          <w:p>
            <w:pPr>
              <w:pStyle w:val="Compact"/>
              <w:jc w:val="left"/>
            </w:pPr>
            <w:r>
              <w:t xml:space="preserve">Preservation; extraction of polyphenols; social/ritual functions</w:t>
            </w:r>
          </w:p>
        </w:tc>
      </w:tr>
      <w:tr>
        <w:tc>
          <w:tcPr/>
          <w:p>
            <w:pPr>
              <w:pStyle w:val="Compact"/>
              <w:jc w:val="left"/>
            </w:pPr>
            <w:r>
              <w:rPr>
                <w:b/>
                <w:bCs/>
              </w:rPr>
              <w:t xml:space="preserve">Acetic acid fermentation</w:t>
            </w:r>
          </w:p>
        </w:tc>
        <w:tc>
          <w:tcPr/>
          <w:p>
            <w:pPr>
              <w:pStyle w:val="Compact"/>
              <w:jc w:val="left"/>
            </w:pPr>
            <w:r>
              <w:t xml:space="preserve">Vinegar, kombucha</w:t>
            </w:r>
          </w:p>
        </w:tc>
        <w:tc>
          <w:tcPr/>
          <w:p>
            <w:pPr>
              <w:pStyle w:val="Compact"/>
              <w:jc w:val="left"/>
            </w:pPr>
            <w:r>
              <w:t xml:space="preserve">Acetobacter species</w:t>
            </w:r>
          </w:p>
        </w:tc>
        <w:tc>
          <w:tcPr/>
          <w:p>
            <w:pPr>
              <w:pStyle w:val="Compact"/>
              <w:jc w:val="left"/>
            </w:pPr>
            <w:r>
              <w:t xml:space="preserve">Preservation; enhanced flavor; potential metabolic benefits</w:t>
            </w:r>
          </w:p>
        </w:tc>
      </w:tr>
      <w:tr>
        <w:tc>
          <w:tcPr/>
          <w:p>
            <w:pPr>
              <w:pStyle w:val="Compact"/>
              <w:jc w:val="left"/>
            </w:pPr>
            <w:r>
              <w:rPr>
                <w:b/>
                <w:bCs/>
              </w:rPr>
              <w:t xml:space="preserve">Alkaline fermentation</w:t>
            </w:r>
          </w:p>
        </w:tc>
        <w:tc>
          <w:tcPr/>
          <w:p>
            <w:pPr>
              <w:pStyle w:val="Compact"/>
              <w:jc w:val="left"/>
            </w:pPr>
            <w:r>
              <w:t xml:space="preserve">Natto, douchi, iru, ogiri</w:t>
            </w:r>
          </w:p>
        </w:tc>
        <w:tc>
          <w:tcPr/>
          <w:p>
            <w:pPr>
              <w:pStyle w:val="Compact"/>
              <w:jc w:val="left"/>
            </w:pPr>
            <w:r>
              <w:t xml:space="preserve">Bacillus subtilis, other Bacillus species</w:t>
            </w:r>
          </w:p>
        </w:tc>
        <w:tc>
          <w:tcPr/>
          <w:p>
            <w:pPr>
              <w:pStyle w:val="Compact"/>
              <w:jc w:val="left"/>
            </w:pPr>
            <w:r>
              <w:t xml:space="preserve">Vitamin K2 (menaquinone-7) production; nattokinase (fibrinolytic enzyme); reduced phytates</w:t>
            </w:r>
          </w:p>
        </w:tc>
      </w:tr>
      <w:tr>
        <w:tc>
          <w:tcPr/>
          <w:p>
            <w:pPr>
              <w:pStyle w:val="Compact"/>
              <w:jc w:val="left"/>
            </w:pPr>
            <w:r>
              <w:rPr>
                <w:b/>
                <w:bCs/>
              </w:rPr>
              <w:t xml:space="preserve">Mixed fermentation</w:t>
            </w:r>
          </w:p>
        </w:tc>
        <w:tc>
          <w:tcPr/>
          <w:p>
            <w:pPr>
              <w:pStyle w:val="Compact"/>
              <w:jc w:val="left"/>
            </w:pPr>
            <w:r>
              <w:t xml:space="preserve">Tempeh, miso, soy sauce</w:t>
            </w:r>
          </w:p>
        </w:tc>
        <w:tc>
          <w:tcPr/>
          <w:p>
            <w:pPr>
              <w:pStyle w:val="Compact"/>
              <w:jc w:val="left"/>
            </w:pPr>
            <w:r>
              <w:t xml:space="preserve">Rhizopus oligosporus, Aspergillus oryzae, bacteria</w:t>
            </w:r>
          </w:p>
        </w:tc>
        <w:tc>
          <w:tcPr/>
          <w:p>
            <w:pPr>
              <w:pStyle w:val="Compact"/>
              <w:jc w:val="left"/>
            </w:pPr>
            <w:r>
              <w:t xml:space="preserve">B-vitamin production; complete protein; reduced antinutrients; bioactive peptides</w:t>
            </w:r>
          </w:p>
        </w:tc>
      </w:tr>
    </w:tbl>
    <w:p>
      <w:pPr>
        <w:pStyle w:val="a0"/>
      </w:pPr>
      <w:r>
        <w:t xml:space="preserve">These processes</w:t>
      </w:r>
      <w:r>
        <w:t xml:space="preserve"> </w:t>
      </w:r>
      <w:r>
        <w:rPr>
          <w:b/>
          <w:bCs/>
        </w:rPr>
        <w:t xml:space="preserve">often improved safety</w:t>
      </w:r>
      <w:r>
        <w:t xml:space="preserve"> </w:t>
      </w:r>
      <w:r>
        <w:t xml:space="preserve">(pathogen inhibition),</w:t>
      </w:r>
      <w:r>
        <w:t xml:space="preserve"> </w:t>
      </w:r>
      <w:r>
        <w:rPr>
          <w:b/>
          <w:bCs/>
        </w:rPr>
        <w:t xml:space="preserve">nutrition</w:t>
      </w:r>
      <w:r>
        <w:t xml:space="preserve"> </w:t>
      </w:r>
      <w:r>
        <w:t xml:space="preserve">(vitamin synthesis, antinutrient reduction), and</w:t>
      </w:r>
      <w:r>
        <w:t xml:space="preserve"> </w:t>
      </w:r>
      <w:r>
        <w:rPr>
          <w:b/>
          <w:bCs/>
        </w:rPr>
        <w:t xml:space="preserve">palatability</w:t>
      </w:r>
      <w:r>
        <w:t xml:space="preserve"> </w:t>
      </w:r>
      <w:r>
        <w:t xml:space="preserve">(flavor development) simultaneously.</w:t>
      </w:r>
    </w:p>
    <w:bookmarkEnd w:id="175"/>
    <w:bookmarkStart w:id="176" w:name="X0deb23b1d460a20025e441cf45c47e9f8046d3a"/>
    <w:p>
      <w:pPr>
        <w:pStyle w:val="4"/>
      </w:pPr>
      <w:r>
        <w:t xml:space="preserve">7.3.2 Spice and Herb Use: Functional and Medicinal Properties</w:t>
      </w:r>
    </w:p>
    <w:p>
      <w:pPr>
        <w:pStyle w:val="FirstParagraph"/>
      </w:pPr>
      <w:r>
        <w:rPr>
          <w:b/>
          <w:bCs/>
        </w:rPr>
        <w:t xml:space="preserve">Traditional cuisines incorporated spices and herbs with bioactive properties that likely conferred health benefits beyond flavor</w:t>
      </w:r>
      <w:r>
        <w:t xml:space="preserve">:</w:t>
      </w:r>
    </w:p>
    <w:tbl>
      <w:tblPr>
        <w:tblStyle w:val="Table"/>
        <w:tblW w:type="pct" w:w="5000"/>
        <w:jc w:val="left"/>
        <w:tblLayout w:type="fixed"/>
        <w:tblLook w:firstRow="1" w:lastRow="0" w:firstColumn="0" w:lastColumn="0" w:noHBand="0" w:noVBand="0" w:val="0020"/>
      </w:tblPr>
      <w:tblGrid>
        <w:gridCol w:w="1300"/>
        <w:gridCol w:w="1654"/>
        <w:gridCol w:w="1891"/>
        <w:gridCol w:w="3073"/>
      </w:tblGrid>
      <w:tr>
        <w:trPr>
          <w:tblHeader w:val="on"/>
        </w:trPr>
        <w:tc>
          <w:tcPr/>
          <w:p>
            <w:pPr>
              <w:pStyle w:val="Compact"/>
              <w:jc w:val="left"/>
            </w:pPr>
            <w:r>
              <w:t xml:space="preserve">Spice/Herb</w:t>
            </w:r>
          </w:p>
        </w:tc>
        <w:tc>
          <w:tcPr/>
          <w:p>
            <w:pPr>
              <w:pStyle w:val="Compact"/>
              <w:jc w:val="left"/>
            </w:pPr>
            <w:r>
              <w:t xml:space="preserve">Traditional Use</w:t>
            </w:r>
          </w:p>
        </w:tc>
        <w:tc>
          <w:tcPr/>
          <w:p>
            <w:pPr>
              <w:pStyle w:val="Compact"/>
              <w:jc w:val="left"/>
            </w:pPr>
            <w:r>
              <w:t xml:space="preserve">Active Compounds</w:t>
            </w:r>
          </w:p>
        </w:tc>
        <w:tc>
          <w:tcPr/>
          <w:p>
            <w:pPr>
              <w:pStyle w:val="Compact"/>
              <w:jc w:val="left"/>
            </w:pPr>
            <w:r>
              <w:t xml:space="preserve">Evidence-Based Properties</w:t>
            </w:r>
          </w:p>
        </w:tc>
      </w:tr>
      <w:tr>
        <w:tc>
          <w:tcPr/>
          <w:p>
            <w:pPr>
              <w:pStyle w:val="Compact"/>
              <w:jc w:val="left"/>
            </w:pPr>
            <w:r>
              <w:rPr>
                <w:b/>
                <w:bCs/>
              </w:rPr>
              <w:t xml:space="preserve">Turmeric</w:t>
            </w:r>
          </w:p>
        </w:tc>
        <w:tc>
          <w:tcPr/>
          <w:p>
            <w:pPr>
              <w:pStyle w:val="Compact"/>
              <w:jc w:val="left"/>
            </w:pPr>
            <w:r>
              <w:t xml:space="preserve">Indian subcontinent, Southeast Asia</w:t>
            </w:r>
          </w:p>
        </w:tc>
        <w:tc>
          <w:tcPr/>
          <w:p>
            <w:pPr>
              <w:pStyle w:val="Compact"/>
              <w:jc w:val="left"/>
            </w:pPr>
            <w:r>
              <w:t xml:space="preserve">Curcuminoids</w:t>
            </w:r>
          </w:p>
        </w:tc>
        <w:tc>
          <w:tcPr/>
          <w:p>
            <w:pPr>
              <w:pStyle w:val="Compact"/>
              <w:jc w:val="left"/>
            </w:pPr>
            <w:r>
              <w:t xml:space="preserve">Anti-inflammatory; antioxidant; poor bioavailability enhanced by piperine and fat</w:t>
            </w:r>
          </w:p>
        </w:tc>
      </w:tr>
      <w:tr>
        <w:tc>
          <w:tcPr/>
          <w:p>
            <w:pPr>
              <w:pStyle w:val="Compact"/>
              <w:jc w:val="left"/>
            </w:pPr>
            <w:r>
              <w:rPr>
                <w:b/>
                <w:bCs/>
              </w:rPr>
              <w:t xml:space="preserve">Ginger</w:t>
            </w:r>
          </w:p>
        </w:tc>
        <w:tc>
          <w:tcPr/>
          <w:p>
            <w:pPr>
              <w:pStyle w:val="Compact"/>
              <w:jc w:val="left"/>
            </w:pPr>
            <w:r>
              <w:t xml:space="preserve">Global traditional medicine</w:t>
            </w:r>
          </w:p>
        </w:tc>
        <w:tc>
          <w:tcPr/>
          <w:p>
            <w:pPr>
              <w:pStyle w:val="Compact"/>
              <w:jc w:val="left"/>
            </w:pPr>
            <w:r>
              <w:t xml:space="preserve">Gingerols, shogaols</w:t>
            </w:r>
          </w:p>
        </w:tc>
        <w:tc>
          <w:tcPr/>
          <w:p>
            <w:pPr>
              <w:pStyle w:val="Compact"/>
              <w:jc w:val="left"/>
            </w:pPr>
            <w:r>
              <w:t xml:space="preserve">Anti-nausea; anti-inflammatory; gastrointestinal motility</w:t>
            </w:r>
          </w:p>
        </w:tc>
      </w:tr>
      <w:tr>
        <w:tc>
          <w:tcPr/>
          <w:p>
            <w:pPr>
              <w:pStyle w:val="Compact"/>
              <w:jc w:val="left"/>
            </w:pPr>
            <w:r>
              <w:rPr>
                <w:b/>
                <w:bCs/>
              </w:rPr>
              <w:t xml:space="preserve">Garlic</w:t>
            </w:r>
          </w:p>
        </w:tc>
        <w:tc>
          <w:tcPr/>
          <w:p>
            <w:pPr>
              <w:pStyle w:val="Compact"/>
              <w:jc w:val="left"/>
            </w:pPr>
            <w:r>
              <w:t xml:space="preserve">Mediterranean, Asian</w:t>
            </w:r>
          </w:p>
        </w:tc>
        <w:tc>
          <w:tcPr/>
          <w:p>
            <w:pPr>
              <w:pStyle w:val="Compact"/>
              <w:jc w:val="left"/>
            </w:pPr>
            <w:r>
              <w:t xml:space="preserve">Allicin, S-allyl cysteine</w:t>
            </w:r>
          </w:p>
        </w:tc>
        <w:tc>
          <w:tcPr/>
          <w:p>
            <w:pPr>
              <w:pStyle w:val="Compact"/>
              <w:jc w:val="left"/>
            </w:pPr>
            <w:r>
              <w:t xml:space="preserve">Cardiovascular risk reduction; antimicrobial; immune modulation</w:t>
            </w:r>
          </w:p>
        </w:tc>
      </w:tr>
      <w:tr>
        <w:tc>
          <w:tcPr/>
          <w:p>
            <w:pPr>
              <w:pStyle w:val="Compact"/>
              <w:jc w:val="left"/>
            </w:pPr>
            <w:r>
              <w:rPr>
                <w:b/>
                <w:bCs/>
              </w:rPr>
              <w:t xml:space="preserve">Cinnamon</w:t>
            </w:r>
          </w:p>
        </w:tc>
        <w:tc>
          <w:tcPr/>
          <w:p>
            <w:pPr>
              <w:pStyle w:val="Compact"/>
              <w:jc w:val="left"/>
            </w:pPr>
            <w:r>
              <w:t xml:space="preserve">Multiple traditions</w:t>
            </w:r>
          </w:p>
        </w:tc>
        <w:tc>
          <w:tcPr/>
          <w:p>
            <w:pPr>
              <w:pStyle w:val="Compact"/>
              <w:jc w:val="left"/>
            </w:pPr>
            <w:r>
              <w:t xml:space="preserve">Cinnamaldehyde, procyanidins</w:t>
            </w:r>
          </w:p>
        </w:tc>
        <w:tc>
          <w:tcPr/>
          <w:p>
            <w:pPr>
              <w:pStyle w:val="Compact"/>
              <w:jc w:val="left"/>
            </w:pPr>
            <w:r>
              <w:t xml:space="preserve">Improved glycemic control (Ceylon cinnamon); anti-inflammatory</w:t>
            </w:r>
          </w:p>
        </w:tc>
      </w:tr>
      <w:tr>
        <w:tc>
          <w:tcPr/>
          <w:p>
            <w:pPr>
              <w:pStyle w:val="Compact"/>
              <w:jc w:val="left"/>
            </w:pPr>
            <w:r>
              <w:rPr>
                <w:b/>
                <w:bCs/>
              </w:rPr>
              <w:t xml:space="preserve">Rosemary</w:t>
            </w:r>
          </w:p>
        </w:tc>
        <w:tc>
          <w:tcPr/>
          <w:p>
            <w:pPr>
              <w:pStyle w:val="Compact"/>
              <w:jc w:val="left"/>
            </w:pPr>
            <w:r>
              <w:t xml:space="preserve">Mediterranean</w:t>
            </w:r>
          </w:p>
        </w:tc>
        <w:tc>
          <w:tcPr/>
          <w:p>
            <w:pPr>
              <w:pStyle w:val="Compact"/>
              <w:jc w:val="left"/>
            </w:pPr>
            <w:r>
              <w:t xml:space="preserve">Carnosic acid, rosmarinic acid</w:t>
            </w:r>
          </w:p>
        </w:tc>
        <w:tc>
          <w:tcPr/>
          <w:p>
            <w:pPr>
              <w:pStyle w:val="Compact"/>
              <w:jc w:val="left"/>
            </w:pPr>
            <w:r>
              <w:t xml:space="preserve">Antioxidant; cognitive protection; antimicrobial</w:t>
            </w:r>
          </w:p>
        </w:tc>
      </w:tr>
      <w:tr>
        <w:tc>
          <w:tcPr/>
          <w:p>
            <w:pPr>
              <w:pStyle w:val="Compact"/>
              <w:jc w:val="left"/>
            </w:pPr>
            <w:r>
              <w:rPr>
                <w:b/>
                <w:bCs/>
              </w:rPr>
              <w:t xml:space="preserve">Chili peppers</w:t>
            </w:r>
          </w:p>
        </w:tc>
        <w:tc>
          <w:tcPr/>
          <w:p>
            <w:pPr>
              <w:pStyle w:val="Compact"/>
              <w:jc w:val="left"/>
            </w:pPr>
            <w:r>
              <w:t xml:space="preserve">Americas, global adoption</w:t>
            </w:r>
          </w:p>
        </w:tc>
        <w:tc>
          <w:tcPr/>
          <w:p>
            <w:pPr>
              <w:pStyle w:val="Compact"/>
              <w:jc w:val="left"/>
            </w:pPr>
            <w:r>
              <w:t xml:space="preserve">Capsaicin</w:t>
            </w:r>
          </w:p>
        </w:tc>
        <w:tc>
          <w:tcPr/>
          <w:p>
            <w:pPr>
              <w:pStyle w:val="Compact"/>
              <w:jc w:val="left"/>
            </w:pPr>
            <w:r>
              <w:t xml:space="preserve">Metabolic rate increase; pain modulation; cardiovascular benefits</w:t>
            </w:r>
          </w:p>
        </w:tc>
      </w:tr>
    </w:tbl>
    <w:p>
      <w:pPr>
        <w:pStyle w:val="a0"/>
      </w:pPr>
      <w:r>
        <w:rPr>
          <w:b/>
          <w:bCs/>
        </w:rPr>
        <w:t xml:space="preserve">The high spice use in hot climates</w:t>
      </w:r>
      <w:r>
        <w:t xml:space="preserve"> </w:t>
      </w:r>
      <w:r>
        <w:t xml:space="preserve">may have</w:t>
      </w:r>
      <w:r>
        <w:t xml:space="preserve"> </w:t>
      </w:r>
      <w:r>
        <w:rPr>
          <w:b/>
          <w:bCs/>
        </w:rPr>
        <w:t xml:space="preserve">originally served food preservation and antimicrobial functions</w:t>
      </w:r>
      <w:r>
        <w:t xml:space="preserve">, with</w:t>
      </w:r>
      <w:r>
        <w:t xml:space="preserve"> </w:t>
      </w:r>
      <w:r>
        <w:rPr>
          <w:b/>
          <w:bCs/>
        </w:rPr>
        <w:t xml:space="preserve">health benefits subsequently recognized</w:t>
      </w:r>
      <w:r>
        <w:t xml:space="preserve">.</w:t>
      </w:r>
    </w:p>
    <w:bookmarkEnd w:id="176"/>
    <w:bookmarkStart w:id="177" w:name="X96cc36c5b60faf7aa782e41416e6d08dc4bf8d6"/>
    <w:p>
      <w:pPr>
        <w:pStyle w:val="4"/>
      </w:pPr>
      <w:r>
        <w:t xml:space="preserve">7.3.3 Fasting and Feasting Cycles across Cultures</w:t>
      </w:r>
    </w:p>
    <w:p>
      <w:pPr>
        <w:pStyle w:val="FirstParagraph"/>
      </w:pPr>
      <w:r>
        <w:rPr>
          <w:b/>
          <w:bCs/>
        </w:rPr>
        <w:t xml:space="preserve">Cyclical food availability shaped human metabolism and was formalized in cultural practices</w:t>
      </w:r>
      <w:r>
        <w:t xml:space="preserve">:</w:t>
      </w:r>
    </w:p>
    <w:tbl>
      <w:tblPr>
        <w:tblStyle w:val="Table"/>
        <w:tblW w:type="pct" w:w="5000"/>
        <w:jc w:val="left"/>
        <w:tblLayout w:type="fixed"/>
        <w:tblLook w:firstRow="1" w:lastRow="0" w:firstColumn="0" w:lastColumn="0" w:noHBand="0" w:noVBand="0" w:val="0020"/>
      </w:tblPr>
      <w:tblGrid>
        <w:gridCol w:w="1466"/>
        <w:gridCol w:w="1466"/>
        <w:gridCol w:w="2786"/>
        <w:gridCol w:w="2200"/>
      </w:tblGrid>
      <w:tr>
        <w:trPr>
          <w:tblHeader w:val="on"/>
        </w:trPr>
        <w:tc>
          <w:tcPr/>
          <w:p>
            <w:pPr>
              <w:pStyle w:val="Compact"/>
              <w:jc w:val="left"/>
            </w:pPr>
            <w:r>
              <w:t xml:space="preserve">Tradition</w:t>
            </w:r>
          </w:p>
        </w:tc>
        <w:tc>
          <w:tcPr/>
          <w:p>
            <w:pPr>
              <w:pStyle w:val="Compact"/>
              <w:jc w:val="left"/>
            </w:pPr>
            <w:r>
              <w:t xml:space="preserve">Practice</w:t>
            </w:r>
          </w:p>
        </w:tc>
        <w:tc>
          <w:tcPr/>
          <w:p>
            <w:pPr>
              <w:pStyle w:val="Compact"/>
              <w:jc w:val="left"/>
            </w:pPr>
            <w:r>
              <w:t xml:space="preserve">Purported Benefits</w:t>
            </w:r>
          </w:p>
        </w:tc>
        <w:tc>
          <w:tcPr/>
          <w:p>
            <w:pPr>
              <w:pStyle w:val="Compact"/>
              <w:jc w:val="left"/>
            </w:pPr>
            <w:r>
              <w:t xml:space="preserve">Modern Relevance</w:t>
            </w:r>
          </w:p>
        </w:tc>
      </w:tr>
      <w:tr>
        <w:tc>
          <w:tcPr/>
          <w:p>
            <w:pPr>
              <w:pStyle w:val="Compact"/>
              <w:jc w:val="left"/>
            </w:pPr>
            <w:r>
              <w:rPr>
                <w:b/>
                <w:bCs/>
              </w:rPr>
              <w:t xml:space="preserve">Religious fasting</w:t>
            </w:r>
            <w:r>
              <w:t xml:space="preserve"> </w:t>
            </w:r>
            <w:r>
              <w:t xml:space="preserve">(Ramadan, Lent, Yom Kippur, Buddhist fasting)</w:t>
            </w:r>
          </w:p>
        </w:tc>
        <w:tc>
          <w:tcPr/>
          <w:p>
            <w:pPr>
              <w:pStyle w:val="Compact"/>
              <w:jc w:val="left"/>
            </w:pPr>
            <w:r>
              <w:t xml:space="preserve">Periodic complete or partial food restriction</w:t>
            </w:r>
          </w:p>
        </w:tc>
        <w:tc>
          <w:tcPr/>
          <w:p>
            <w:pPr>
              <w:pStyle w:val="Compact"/>
              <w:jc w:val="left"/>
            </w:pPr>
            <w:r>
              <w:t xml:space="preserve">Spiritual discipline; empathy for poor; metabolic rest</w:t>
            </w:r>
          </w:p>
        </w:tc>
        <w:tc>
          <w:tcPr/>
          <w:p>
            <w:pPr>
              <w:pStyle w:val="Compact"/>
              <w:jc w:val="left"/>
            </w:pPr>
            <w:r>
              <w:t xml:space="preserve">Time-restricted eating research; intermittent fasting protocols</w:t>
            </w:r>
          </w:p>
        </w:tc>
      </w:tr>
      <w:tr>
        <w:tc>
          <w:tcPr/>
          <w:p>
            <w:pPr>
              <w:pStyle w:val="Compact"/>
              <w:jc w:val="left"/>
            </w:pPr>
            <w:r>
              <w:rPr>
                <w:b/>
                <w:bCs/>
              </w:rPr>
              <w:t xml:space="preserve">Seasonal feasting and fasting</w:t>
            </w:r>
          </w:p>
        </w:tc>
        <w:tc>
          <w:tcPr/>
          <w:p>
            <w:pPr>
              <w:pStyle w:val="Compact"/>
              <w:jc w:val="left"/>
            </w:pPr>
            <w:r>
              <w:t xml:space="preserve">Pre-industrial agricultural cycles</w:t>
            </w:r>
          </w:p>
        </w:tc>
        <w:tc>
          <w:tcPr/>
          <w:p>
            <w:pPr>
              <w:pStyle w:val="Compact"/>
              <w:jc w:val="left"/>
            </w:pPr>
            <w:r>
              <w:t xml:space="preserve">Energy storage for lean periods; social cohesion</w:t>
            </w:r>
          </w:p>
        </w:tc>
        <w:tc>
          <w:tcPr/>
          <w:p>
            <w:pPr>
              <w:pStyle w:val="Compact"/>
              <w:jc w:val="left"/>
            </w:pPr>
            <w:r>
              <w:t xml:space="preserve">Less relevant with constant food availability; may contribute to obesity</w:t>
            </w:r>
          </w:p>
        </w:tc>
      </w:tr>
      <w:tr>
        <w:tc>
          <w:tcPr/>
          <w:p>
            <w:pPr>
              <w:pStyle w:val="Compact"/>
              <w:jc w:val="left"/>
            </w:pPr>
            <w:r>
              <w:rPr>
                <w:b/>
                <w:bCs/>
              </w:rPr>
              <w:t xml:space="preserve">Hunting success-driven feasting</w:t>
            </w:r>
          </w:p>
        </w:tc>
        <w:tc>
          <w:tcPr/>
          <w:p>
            <w:pPr>
              <w:pStyle w:val="Compact"/>
              <w:jc w:val="left"/>
            </w:pPr>
            <w:r>
              <w:t xml:space="preserve">Hunter-gatherer</w:t>
            </w:r>
          </w:p>
        </w:tc>
        <w:tc>
          <w:tcPr/>
          <w:p>
            <w:pPr>
              <w:pStyle w:val="Compact"/>
              <w:jc w:val="left"/>
            </w:pPr>
            <w:r>
              <w:t xml:space="preserve">Protein and fat surplus after successful hunt; sharing obligations</w:t>
            </w:r>
          </w:p>
        </w:tc>
        <w:tc>
          <w:tcPr/>
          <w:p>
            <w:pPr>
              <w:pStyle w:val="Compact"/>
              <w:jc w:val="left"/>
            </w:pPr>
            <w:r>
              <w:t xml:space="preserve">Evolutionary basis for human social food sharing</w:t>
            </w:r>
          </w:p>
        </w:tc>
      </w:tr>
      <w:tr>
        <w:tc>
          <w:tcPr/>
          <w:p>
            <w:pPr>
              <w:pStyle w:val="Compact"/>
              <w:jc w:val="left"/>
            </w:pPr>
            <w:r>
              <w:rPr>
                <w:b/>
                <w:bCs/>
              </w:rPr>
              <w:t xml:space="preserve">Therapeutic fasting</w:t>
            </w:r>
          </w:p>
        </w:tc>
        <w:tc>
          <w:tcPr/>
          <w:p>
            <w:pPr>
              <w:pStyle w:val="Compact"/>
              <w:jc w:val="left"/>
            </w:pPr>
            <w:r>
              <w:t xml:space="preserve">Hippocratic tradition; Ayurveda; naturopathy</w:t>
            </w:r>
          </w:p>
        </w:tc>
        <w:tc>
          <w:tcPr/>
          <w:p>
            <w:pPr>
              <w:pStyle w:val="Compact"/>
              <w:jc w:val="left"/>
            </w:pPr>
            <w:r>
              <w:t xml:space="preserve">“</w:t>
            </w:r>
            <w:r>
              <w:t xml:space="preserve">Cleansing</w:t>
            </w:r>
            <w:r>
              <w:t xml:space="preserve">”</w:t>
            </w:r>
            <w:r>
              <w:t xml:space="preserve">; digestive rest; disease treatment</w:t>
            </w:r>
          </w:p>
        </w:tc>
        <w:tc>
          <w:tcPr/>
          <w:p>
            <w:pPr>
              <w:pStyle w:val="Compact"/>
              <w:jc w:val="left"/>
            </w:pPr>
            <w:r>
              <w:t xml:space="preserve">Medical supervision required; evidence for some metabolic conditions</w:t>
            </w:r>
          </w:p>
        </w:tc>
      </w:tr>
      <w:tr>
        <w:tc>
          <w:tcPr/>
          <w:p>
            <w:pPr>
              <w:pStyle w:val="Compact"/>
              <w:jc w:val="left"/>
            </w:pPr>
            <w:r>
              <w:rPr>
                <w:b/>
                <w:bCs/>
              </w:rPr>
              <w:t xml:space="preserve">Intermittent fasting protocols</w:t>
            </w:r>
            <w:r>
              <w:t xml:space="preserve"> </w:t>
            </w:r>
            <w:r>
              <w:t xml:space="preserve">(16:8, 5:2, alternate day)</w:t>
            </w:r>
          </w:p>
        </w:tc>
        <w:tc>
          <w:tcPr/>
          <w:p>
            <w:pPr>
              <w:pStyle w:val="Compact"/>
              <w:jc w:val="left"/>
            </w:pPr>
            <w:r>
              <w:t xml:space="preserve">Modern formalization</w:t>
            </w:r>
          </w:p>
        </w:tc>
        <w:tc>
          <w:tcPr/>
          <w:p>
            <w:pPr>
              <w:pStyle w:val="Compact"/>
              <w:jc w:val="left"/>
            </w:pPr>
            <w:r>
              <w:t xml:space="preserve">Weight management; improved insulin sensitivity; cellular autophagy</w:t>
            </w:r>
          </w:p>
        </w:tc>
        <w:tc>
          <w:tcPr/>
          <w:p>
            <w:pPr>
              <w:pStyle w:val="Compact"/>
              <w:jc w:val="left"/>
            </w:pPr>
            <w:r>
              <w:t xml:space="preserve">Growing evidence base; individual variation in response</w:t>
            </w:r>
          </w:p>
        </w:tc>
      </w:tr>
    </w:tbl>
    <w:p>
      <w:pPr>
        <w:pStyle w:val="a0"/>
      </w:pPr>
      <w:r>
        <w:rPr>
          <w:b/>
          <w:bCs/>
        </w:rPr>
        <w:t xml:space="preserve">These traditional practices may have preserved metabolic flexibility</w:t>
      </w:r>
      <w:r>
        <w:t xml:space="preserve"> </w:t>
      </w:r>
      <w:r>
        <w:t xml:space="preserve">that is</w:t>
      </w:r>
      <w:r>
        <w:t xml:space="preserve"> </w:t>
      </w:r>
      <w:r>
        <w:rPr>
          <w:b/>
          <w:bCs/>
        </w:rPr>
        <w:t xml:space="preserve">lost in modern constant food availability</w:t>
      </w:r>
      <w:r>
        <w:t xml:space="preserve">, contributing to chronic disease.</w:t>
      </w:r>
    </w:p>
    <w:bookmarkEnd w:id="177"/>
    <w:bookmarkEnd w:id="178"/>
    <w:bookmarkStart w:id="182" w:name="modern-dietary-evolution"/>
    <w:p>
      <w:pPr>
        <w:pStyle w:val="3"/>
      </w:pPr>
      <w:r>
        <w:t xml:space="preserve">7.4 Modern Dietary Evolution</w:t>
      </w:r>
    </w:p>
    <w:bookmarkStart w:id="179" w:name="X9ca1d5aeaa34587fbcbfbc734e58cf1378db422"/>
    <w:p>
      <w:pPr>
        <w:pStyle w:val="4"/>
      </w:pPr>
      <w:r>
        <w:t xml:space="preserve">7.4.1 Nutrition Transition: Traditional to Western Dietary Patterns</w:t>
      </w:r>
    </w:p>
    <w:p>
      <w:pPr>
        <w:pStyle w:val="FirstParagraph"/>
      </w:pPr>
      <w:r>
        <w:t xml:space="preserve">The</w:t>
      </w:r>
      <w:r>
        <w:t xml:space="preserve"> </w:t>
      </w:r>
      <w:r>
        <w:rPr>
          <w:b/>
          <w:bCs/>
        </w:rPr>
        <w:t xml:space="preserve">“</w:t>
      </w:r>
      <w:r>
        <w:rPr>
          <w:b/>
          <w:bCs/>
        </w:rPr>
        <w:t xml:space="preserve">nutrition transition</w:t>
      </w:r>
      <w:r>
        <w:rPr>
          <w:b/>
          <w:bCs/>
        </w:rPr>
        <w:t xml:space="preserve">”</w:t>
      </w:r>
      <w:r>
        <w:rPr>
          <w:b/>
          <w:bCs/>
        </w:rPr>
        <w:t xml:space="preserve"> </w:t>
      </w:r>
      <w:r>
        <w:rPr>
          <w:b/>
          <w:bCs/>
        </w:rPr>
        <w:t xml:space="preserve">model</w:t>
      </w:r>
      <w:r>
        <w:t xml:space="preserve"> </w:t>
      </w:r>
      <w:r>
        <w:t xml:space="preserve">(Popkin, 1993) describes</w:t>
      </w:r>
      <w:r>
        <w:t xml:space="preserve"> </w:t>
      </w:r>
      <w:r>
        <w:rPr>
          <w:b/>
          <w:bCs/>
        </w:rPr>
        <w:t xml:space="preserve">predictable dietary shifts accompanying economic development</w:t>
      </w:r>
      <w:r>
        <w:t xml:space="preserve">:</w:t>
      </w:r>
    </w:p>
    <w:tbl>
      <w:tblPr>
        <w:tblStyle w:val="Table"/>
        <w:tblW w:type="pct" w:w="5000"/>
        <w:jc w:val="left"/>
        <w:tblLayout w:type="fixed"/>
        <w:tblLook w:firstRow="1" w:lastRow="0" w:firstColumn="0" w:lastColumn="0" w:noHBand="0" w:noVBand="0" w:val="0020"/>
      </w:tblPr>
      <w:tblGrid>
        <w:gridCol w:w="1205"/>
        <w:gridCol w:w="2582"/>
        <w:gridCol w:w="4132"/>
      </w:tblGrid>
      <w:tr>
        <w:trPr>
          <w:tblHeader w:val="on"/>
        </w:trPr>
        <w:tc>
          <w:tcPr/>
          <w:p>
            <w:pPr>
              <w:pStyle w:val="Compact"/>
              <w:jc w:val="left"/>
            </w:pPr>
            <w:r>
              <w:t xml:space="preserve">Stage</w:t>
            </w:r>
          </w:p>
        </w:tc>
        <w:tc>
          <w:tcPr/>
          <w:p>
            <w:pPr>
              <w:pStyle w:val="Compact"/>
              <w:jc w:val="left"/>
            </w:pPr>
            <w:r>
              <w:t xml:space="preserve">Characteristics</w:t>
            </w:r>
          </w:p>
        </w:tc>
        <w:tc>
          <w:tcPr/>
          <w:p>
            <w:pPr>
              <w:pStyle w:val="Compact"/>
              <w:jc w:val="left"/>
            </w:pPr>
            <w:r>
              <w:t xml:space="preserve">Dominant Health Problems</w:t>
            </w:r>
          </w:p>
        </w:tc>
      </w:tr>
      <w:tr>
        <w:tc>
          <w:tcPr/>
          <w:p>
            <w:pPr>
              <w:pStyle w:val="Compact"/>
              <w:jc w:val="left"/>
            </w:pPr>
            <w:r>
              <w:rPr>
                <w:b/>
                <w:bCs/>
              </w:rPr>
              <w:t xml:space="preserve">1. Collecting food</w:t>
            </w:r>
          </w:p>
        </w:tc>
        <w:tc>
          <w:tcPr/>
          <w:p>
            <w:pPr>
              <w:pStyle w:val="Compact"/>
              <w:jc w:val="left"/>
            </w:pPr>
            <w:r>
              <w:t xml:space="preserve">Hunter-gatherer; famine common</w:t>
            </w:r>
          </w:p>
        </w:tc>
        <w:tc>
          <w:tcPr/>
          <w:p>
            <w:pPr>
              <w:pStyle w:val="Compact"/>
              <w:jc w:val="left"/>
            </w:pPr>
            <w:r>
              <w:t xml:space="preserve">Infectious disease, parasites, maternal mortality, trauma</w:t>
            </w:r>
          </w:p>
        </w:tc>
      </w:tr>
      <w:tr>
        <w:tc>
          <w:tcPr/>
          <w:p>
            <w:pPr>
              <w:pStyle w:val="Compact"/>
              <w:jc w:val="left"/>
            </w:pPr>
            <w:r>
              <w:rPr>
                <w:b/>
                <w:bCs/>
              </w:rPr>
              <w:t xml:space="preserve">2. Famine receding</w:t>
            </w:r>
          </w:p>
        </w:tc>
        <w:tc>
          <w:tcPr/>
          <w:p>
            <w:pPr>
              <w:pStyle w:val="Compact"/>
              <w:jc w:val="left"/>
            </w:pPr>
            <w:r>
              <w:t xml:space="preserve">Early agriculture; starchy staples dominate; seasonal hunger</w:t>
            </w:r>
          </w:p>
        </w:tc>
        <w:tc>
          <w:tcPr/>
          <w:p>
            <w:pPr>
              <w:pStyle w:val="Compact"/>
              <w:jc w:val="left"/>
            </w:pPr>
            <w:r>
              <w:t xml:space="preserve">Nutrient deficiencies, infectious disease</w:t>
            </w:r>
          </w:p>
        </w:tc>
      </w:tr>
      <w:tr>
        <w:tc>
          <w:tcPr/>
          <w:p>
            <w:pPr>
              <w:pStyle w:val="Compact"/>
              <w:jc w:val="left"/>
            </w:pPr>
            <w:r>
              <w:rPr>
                <w:b/>
                <w:bCs/>
              </w:rPr>
              <w:t xml:space="preserve">3. Receding famine</w:t>
            </w:r>
          </w:p>
        </w:tc>
        <w:tc>
          <w:tcPr/>
          <w:p>
            <w:pPr>
              <w:pStyle w:val="Compact"/>
              <w:jc w:val="left"/>
            </w:pPr>
            <w:r>
              <w:t xml:space="preserve">Increased dietary diversity; reduced food insecurity; some processed foods</w:t>
            </w:r>
          </w:p>
        </w:tc>
        <w:tc>
          <w:tcPr/>
          <w:p>
            <w:pPr>
              <w:pStyle w:val="Compact"/>
              <w:jc w:val="left"/>
            </w:pPr>
            <w:r>
              <w:t xml:space="preserve">Declining deficiency diseases; increasing chronic disease</w:t>
            </w:r>
          </w:p>
        </w:tc>
      </w:tr>
      <w:tr>
        <w:tc>
          <w:tcPr/>
          <w:p>
            <w:pPr>
              <w:pStyle w:val="Compact"/>
              <w:jc w:val="left"/>
            </w:pPr>
            <w:r>
              <w:rPr>
                <w:b/>
                <w:bCs/>
              </w:rPr>
              <w:t xml:space="preserve">4. Degenerative diseases</w:t>
            </w:r>
          </w:p>
        </w:tc>
        <w:tc>
          <w:tcPr/>
          <w:p>
            <w:pPr>
              <w:pStyle w:val="Compact"/>
              <w:jc w:val="left"/>
            </w:pPr>
            <w:r>
              <w:t xml:space="preserve">High fat, sugar, processed foods; reduced physical activity; obesity epidemic</w:t>
            </w:r>
          </w:p>
        </w:tc>
        <w:tc>
          <w:tcPr/>
          <w:p>
            <w:pPr>
              <w:pStyle w:val="Compact"/>
              <w:jc w:val="left"/>
            </w:pPr>
            <w:r>
              <w:t xml:space="preserve">Cardiovascular disease, diabetes, cancer, obesity</w:t>
            </w:r>
          </w:p>
        </w:tc>
      </w:tr>
      <w:tr>
        <w:tc>
          <w:tcPr/>
          <w:p>
            <w:pPr>
              <w:pStyle w:val="Compact"/>
              <w:jc w:val="left"/>
            </w:pPr>
            <w:r>
              <w:rPr>
                <w:b/>
                <w:bCs/>
              </w:rPr>
              <w:t xml:space="preserve">5. Behavioral change</w:t>
            </w:r>
          </w:p>
        </w:tc>
        <w:tc>
          <w:tcPr/>
          <w:p>
            <w:pPr>
              <w:pStyle w:val="Compact"/>
              <w:jc w:val="left"/>
            </w:pPr>
            <w:r>
              <w:t xml:space="preserve">Conscious healthy eating; physical activity; reduced smoking</w:t>
            </w:r>
          </w:p>
        </w:tc>
        <w:tc>
          <w:tcPr/>
          <w:p>
            <w:pPr>
              <w:pStyle w:val="Compact"/>
              <w:jc w:val="left"/>
            </w:pPr>
            <w:r>
              <w:t xml:space="preserve">Delayed chronic disease; healthy aging</w:t>
            </w:r>
          </w:p>
        </w:tc>
      </w:tr>
    </w:tbl>
    <w:p>
      <w:pPr>
        <w:pStyle w:val="a0"/>
      </w:pPr>
      <w:r>
        <w:rPr>
          <w:b/>
          <w:bCs/>
        </w:rPr>
        <w:t xml:space="preserve">Most low- and middle-income countries are in stages 3–4</w:t>
      </w:r>
      <w:r>
        <w:t xml:space="preserve">, with</w:t>
      </w:r>
      <w:r>
        <w:t xml:space="preserve"> </w:t>
      </w:r>
      <w:r>
        <w:rPr>
          <w:b/>
          <w:bCs/>
        </w:rPr>
        <w:t xml:space="preserve">rapid increases in obesity and diabetes</w:t>
      </w:r>
      <w:r>
        <w:t xml:space="preserve"> </w:t>
      </w:r>
      <w:r>
        <w:t xml:space="preserve">alongside</w:t>
      </w:r>
      <w:r>
        <w:t xml:space="preserve"> </w:t>
      </w:r>
      <w:r>
        <w:rPr>
          <w:b/>
          <w:bCs/>
        </w:rPr>
        <w:t xml:space="preserve">persistent undernutrition in disadvantaged subpopulations</w:t>
      </w:r>
      <w:r>
        <w:t xml:space="preserve">—the</w:t>
      </w:r>
      <w:r>
        <w:t xml:space="preserve"> </w:t>
      </w:r>
      <w:r>
        <w:rPr>
          <w:b/>
          <w:bCs/>
        </w:rPr>
        <w:t xml:space="preserve">“</w:t>
      </w:r>
      <w:r>
        <w:rPr>
          <w:b/>
          <w:bCs/>
        </w:rPr>
        <w:t xml:space="preserve">double burden of malnutrition</w:t>
      </w:r>
      <w:r>
        <w:rPr>
          <w:b/>
          <w:bCs/>
        </w:rPr>
        <w:t xml:space="preserve">”</w:t>
      </w:r>
      <w:r>
        <w:t xml:space="preserve">.</w:t>
      </w:r>
    </w:p>
    <w:bookmarkEnd w:id="179"/>
    <w:bookmarkStart w:id="180" w:name="X086dfaf3596b12d1e22777ffefdbbf582030666"/>
    <w:p>
      <w:pPr>
        <w:pStyle w:val="4"/>
      </w:pPr>
      <w:r>
        <w:t xml:space="preserve">7.4.2 Globalization and Food System Homogenization</w:t>
      </w:r>
    </w:p>
    <w:p>
      <w:pPr>
        <w:pStyle w:val="FirstParagraph"/>
      </w:pPr>
      <w:r>
        <w:rPr>
          <w:b/>
          <w:bCs/>
        </w:rPr>
        <w:t xml:space="preserve">Global food systems have undergone radical transformation since mid-20th century</w:t>
      </w:r>
      <w:r>
        <w:t xml:space="preserve">:</w:t>
      </w:r>
    </w:p>
    <w:tbl>
      <w:tblPr>
        <w:tblStyle w:val="Table"/>
        <w:tblW w:type="pct" w:w="5000"/>
        <w:jc w:val="left"/>
        <w:tblLayout w:type="fixed"/>
        <w:tblLook w:firstRow="1" w:lastRow="0" w:firstColumn="0" w:lastColumn="0" w:noHBand="0" w:noVBand="0" w:val="0020"/>
      </w:tblPr>
      <w:tblGrid>
        <w:gridCol w:w="1188"/>
        <w:gridCol w:w="1980"/>
        <w:gridCol w:w="4752"/>
      </w:tblGrid>
      <w:tr>
        <w:trPr>
          <w:tblHeader w:val="on"/>
        </w:trPr>
        <w:tc>
          <w:tcPr/>
          <w:p>
            <w:pPr>
              <w:pStyle w:val="Compact"/>
              <w:jc w:val="left"/>
            </w:pPr>
            <w:r>
              <w:t xml:space="preserve">Trend</w:t>
            </w:r>
          </w:p>
        </w:tc>
        <w:tc>
          <w:tcPr/>
          <w:p>
            <w:pPr>
              <w:pStyle w:val="Compact"/>
              <w:jc w:val="left"/>
            </w:pPr>
            <w:r>
              <w:t xml:space="preserve">Mechanism</w:t>
            </w:r>
          </w:p>
        </w:tc>
        <w:tc>
          <w:tcPr/>
          <w:p>
            <w:pPr>
              <w:pStyle w:val="Compact"/>
              <w:jc w:val="left"/>
            </w:pPr>
            <w:r>
              <w:t xml:space="preserve">Nutritional Consequence</w:t>
            </w:r>
          </w:p>
        </w:tc>
      </w:tr>
      <w:tr>
        <w:tc>
          <w:tcPr/>
          <w:p>
            <w:pPr>
              <w:pStyle w:val="Compact"/>
              <w:jc w:val="left"/>
            </w:pPr>
            <w:r>
              <w:rPr>
                <w:b/>
                <w:bCs/>
              </w:rPr>
              <w:t xml:space="preserve">Agricultural intensification</w:t>
            </w:r>
          </w:p>
        </w:tc>
        <w:tc>
          <w:tcPr/>
          <w:p>
            <w:pPr>
              <w:pStyle w:val="Compact"/>
              <w:jc w:val="left"/>
            </w:pPr>
            <w:r>
              <w:t xml:space="preserve">Green Revolution; monoculture; chemical inputs</w:t>
            </w:r>
          </w:p>
        </w:tc>
        <w:tc>
          <w:tcPr/>
          <w:p>
            <w:pPr>
              <w:pStyle w:val="Compact"/>
              <w:jc w:val="left"/>
            </w:pPr>
            <w:r>
              <w:t xml:space="preserve">Caloric abundance; reduced crop diversity; environmental degradation</w:t>
            </w:r>
          </w:p>
        </w:tc>
      </w:tr>
      <w:tr>
        <w:tc>
          <w:tcPr/>
          <w:p>
            <w:pPr>
              <w:pStyle w:val="Compact"/>
              <w:jc w:val="left"/>
            </w:pPr>
            <w:r>
              <w:rPr>
                <w:b/>
                <w:bCs/>
              </w:rPr>
              <w:t xml:space="preserve">Food processing consolidation</w:t>
            </w:r>
          </w:p>
        </w:tc>
        <w:tc>
          <w:tcPr/>
          <w:p>
            <w:pPr>
              <w:pStyle w:val="Compact"/>
              <w:jc w:val="left"/>
            </w:pPr>
            <w:r>
              <w:t xml:space="preserve">Transnational corporations; global brands; ultra-processing</w:t>
            </w:r>
          </w:p>
        </w:tc>
        <w:tc>
          <w:tcPr/>
          <w:p>
            <w:pPr>
              <w:pStyle w:val="Compact"/>
              <w:jc w:val="left"/>
            </w:pPr>
            <w:r>
              <w:t xml:space="preserve">Ultra-processed foods dominate; traditional foods displaced; increased sodium, sugar, unhealthy fats</w:t>
            </w:r>
          </w:p>
        </w:tc>
      </w:tr>
      <w:tr>
        <w:tc>
          <w:tcPr/>
          <w:p>
            <w:pPr>
              <w:pStyle w:val="Compact"/>
              <w:jc w:val="left"/>
            </w:pPr>
            <w:r>
              <w:rPr>
                <w:b/>
                <w:bCs/>
              </w:rPr>
              <w:t xml:space="preserve">Trade liberalization</w:t>
            </w:r>
          </w:p>
        </w:tc>
        <w:tc>
          <w:tcPr/>
          <w:p>
            <w:pPr>
              <w:pStyle w:val="Compact"/>
              <w:jc w:val="left"/>
            </w:pPr>
            <w:r>
              <w:t xml:space="preserve">Reduced tariffs; global supply chains</w:t>
            </w:r>
          </w:p>
        </w:tc>
        <w:tc>
          <w:tcPr/>
          <w:p>
            <w:pPr>
              <w:pStyle w:val="Compact"/>
              <w:jc w:val="left"/>
            </w:pPr>
            <w:r>
              <w:t xml:space="preserve">Year-round availability of all foods; reduced seasonality; food miles increase</w:t>
            </w:r>
          </w:p>
        </w:tc>
      </w:tr>
      <w:tr>
        <w:tc>
          <w:tcPr/>
          <w:p>
            <w:pPr>
              <w:pStyle w:val="Compact"/>
              <w:jc w:val="left"/>
            </w:pPr>
            <w:r>
              <w:rPr>
                <w:b/>
                <w:bCs/>
              </w:rPr>
              <w:t xml:space="preserve">Marketing globalization</w:t>
            </w:r>
          </w:p>
        </w:tc>
        <w:tc>
          <w:tcPr/>
          <w:p>
            <w:pPr>
              <w:pStyle w:val="Compact"/>
              <w:jc w:val="left"/>
            </w:pPr>
            <w:r>
              <w:t xml:space="preserve">Digital media; celebrity endorsements; child-targeting</w:t>
            </w:r>
          </w:p>
        </w:tc>
        <w:tc>
          <w:tcPr/>
          <w:p>
            <w:pPr>
              <w:pStyle w:val="Compact"/>
              <w:jc w:val="left"/>
            </w:pPr>
            <w:r>
              <w:t xml:space="preserve">Western dietary norms spread; local food cultures eroded; increased consumption</w:t>
            </w:r>
          </w:p>
        </w:tc>
      </w:tr>
      <w:tr>
        <w:tc>
          <w:tcPr/>
          <w:p>
            <w:pPr>
              <w:pStyle w:val="Compact"/>
              <w:jc w:val="left"/>
            </w:pPr>
            <w:r>
              <w:rPr>
                <w:b/>
                <w:bCs/>
              </w:rPr>
              <w:t xml:space="preserve">Fast food proliferation</w:t>
            </w:r>
          </w:p>
        </w:tc>
        <w:tc>
          <w:tcPr/>
          <w:p>
            <w:pPr>
              <w:pStyle w:val="Compact"/>
              <w:jc w:val="left"/>
            </w:pPr>
            <w:r>
              <w:t xml:space="preserve">Franchising; convenience; affordability</w:t>
            </w:r>
          </w:p>
        </w:tc>
        <w:tc>
          <w:tcPr/>
          <w:p>
            <w:pPr>
              <w:pStyle w:val="Compact"/>
              <w:jc w:val="left"/>
            </w:pPr>
            <w:r>
              <w:t xml:space="preserve">Energy-dense, nutrient-poor options ubiquitous; portion sizes increase</w:t>
            </w:r>
          </w:p>
        </w:tc>
      </w:tr>
      <w:tr>
        <w:tc>
          <w:tcPr/>
          <w:p>
            <w:pPr>
              <w:pStyle w:val="Compact"/>
              <w:jc w:val="left"/>
            </w:pPr>
            <w:r>
              <w:rPr>
                <w:b/>
                <w:bCs/>
              </w:rPr>
              <w:t xml:space="preserve">Supermarket dominance</w:t>
            </w:r>
          </w:p>
        </w:tc>
        <w:tc>
          <w:tcPr/>
          <w:p>
            <w:pPr>
              <w:pStyle w:val="Compact"/>
              <w:jc w:val="left"/>
            </w:pPr>
            <w:r>
              <w:t xml:space="preserve">Vertical integration; private labels; global sourcing</w:t>
            </w:r>
          </w:p>
        </w:tc>
        <w:tc>
          <w:tcPr/>
          <w:p>
            <w:pPr>
              <w:pStyle w:val="Compact"/>
              <w:jc w:val="left"/>
            </w:pPr>
            <w:r>
              <w:t xml:space="preserve">Fresh food access improved in some areas; traditional markets undermined; processed foods promoted</w:t>
            </w:r>
          </w:p>
        </w:tc>
      </w:tr>
    </w:tbl>
    <w:p>
      <w:pPr>
        <w:pStyle w:val="a0"/>
      </w:pPr>
      <w:r>
        <w:rPr>
          <w:b/>
          <w:bCs/>
        </w:rPr>
        <w:t xml:space="preserve">Dietary pattern homogenization</w:t>
      </w:r>
      <w:r>
        <w:t xml:space="preserve">—the</w:t>
      </w:r>
      <w:r>
        <w:t xml:space="preserve"> </w:t>
      </w:r>
      <w:r>
        <w:rPr>
          <w:b/>
          <w:bCs/>
        </w:rPr>
        <w:t xml:space="preserve">“</w:t>
      </w:r>
      <w:r>
        <w:rPr>
          <w:b/>
          <w:bCs/>
        </w:rPr>
        <w:t xml:space="preserve">Westernization</w:t>
      </w:r>
      <w:r>
        <w:rPr>
          <w:b/>
          <w:bCs/>
        </w:rPr>
        <w:t xml:space="preserve">”</w:t>
      </w:r>
      <w:r>
        <w:rPr>
          <w:b/>
          <w:bCs/>
        </w:rPr>
        <w:t xml:space="preserve"> </w:t>
      </w:r>
      <w:r>
        <w:rPr>
          <w:b/>
          <w:bCs/>
        </w:rPr>
        <w:t xml:space="preserve">of diets globally</w:t>
      </w:r>
      <w:r>
        <w:t xml:space="preserve">—contributes to</w:t>
      </w:r>
      <w:r>
        <w:t xml:space="preserve"> </w:t>
      </w:r>
      <w:r>
        <w:rPr>
          <w:b/>
          <w:bCs/>
        </w:rPr>
        <w:t xml:space="preserve">converging disease patterns</w:t>
      </w:r>
      <w:r>
        <w:t xml:space="preserve">: obesity, diabetes, and cardiovascular disease now dominate in</w:t>
      </w:r>
      <w:r>
        <w:t xml:space="preserve"> </w:t>
      </w:r>
      <w:r>
        <w:rPr>
          <w:b/>
          <w:bCs/>
        </w:rPr>
        <w:t xml:space="preserve">low-, middle-, and high-income countries alike</w:t>
      </w:r>
      <w:r>
        <w:t xml:space="preserve">.</w:t>
      </w:r>
    </w:p>
    <w:bookmarkEnd w:id="180"/>
    <w:bookmarkStart w:id="181" w:name="X2caaffba1e8fa5cfe6ddc62af80a473c8f59d13"/>
    <w:p>
      <w:pPr>
        <w:pStyle w:val="4"/>
      </w:pPr>
      <w:r>
        <w:t xml:space="preserve">7.4.3 Re-emergence of Traditional Diets in Public Health Recommendations</w:t>
      </w:r>
    </w:p>
    <w:p>
      <w:pPr>
        <w:pStyle w:val="FirstParagraph"/>
      </w:pPr>
      <w:r>
        <w:rPr>
          <w:b/>
          <w:bCs/>
        </w:rPr>
        <w:t xml:space="preserve">Paradoxically, as traditional diets disappear, they are increasingly valued for health promotion</w:t>
      </w:r>
      <w:r>
        <w:t xml:space="preserve">:</w:t>
      </w:r>
    </w:p>
    <w:tbl>
      <w:tblPr>
        <w:tblStyle w:val="Table"/>
        <w:tblW w:type="pct" w:w="5000"/>
        <w:jc w:val="left"/>
        <w:tblLayout w:type="fixed"/>
        <w:tblLook w:firstRow="1" w:lastRow="0" w:firstColumn="0" w:lastColumn="0" w:noHBand="0" w:noVBand="0" w:val="0020"/>
      </w:tblPr>
      <w:tblGrid>
        <w:gridCol w:w="2816"/>
        <w:gridCol w:w="1936"/>
        <w:gridCol w:w="3168"/>
      </w:tblGrid>
      <w:tr>
        <w:trPr>
          <w:tblHeader w:val="on"/>
        </w:trPr>
        <w:tc>
          <w:tcPr/>
          <w:p>
            <w:pPr>
              <w:pStyle w:val="Compact"/>
              <w:jc w:val="left"/>
            </w:pPr>
            <w:r>
              <w:t xml:space="preserve">Traditional Diet</w:t>
            </w:r>
          </w:p>
        </w:tc>
        <w:tc>
          <w:tcPr/>
          <w:p>
            <w:pPr>
              <w:pStyle w:val="Compact"/>
              <w:jc w:val="left"/>
            </w:pPr>
            <w:r>
              <w:t xml:space="preserve">Recognition</w:t>
            </w:r>
          </w:p>
        </w:tc>
        <w:tc>
          <w:tcPr/>
          <w:p>
            <w:pPr>
              <w:pStyle w:val="Compact"/>
              <w:jc w:val="left"/>
            </w:pPr>
            <w:r>
              <w:t xml:space="preserve">Modern Integration</w:t>
            </w:r>
          </w:p>
        </w:tc>
      </w:tr>
      <w:tr>
        <w:tc>
          <w:tcPr/>
          <w:p>
            <w:pPr>
              <w:pStyle w:val="Compact"/>
              <w:jc w:val="left"/>
            </w:pPr>
            <w:r>
              <w:rPr>
                <w:b/>
                <w:bCs/>
              </w:rPr>
              <w:t xml:space="preserve">Mediterranean diet</w:t>
            </w:r>
          </w:p>
        </w:tc>
        <w:tc>
          <w:tcPr/>
          <w:p>
            <w:pPr>
              <w:pStyle w:val="Compact"/>
              <w:jc w:val="left"/>
            </w:pPr>
            <w:r>
              <w:t xml:space="preserve">UNESCO Intangible Cultural Heritage (2013); most researched healthy diet</w:t>
            </w:r>
          </w:p>
        </w:tc>
        <w:tc>
          <w:tcPr/>
          <w:p>
            <w:pPr>
              <w:pStyle w:val="Compact"/>
              <w:jc w:val="left"/>
            </w:pPr>
            <w:r>
              <w:t xml:space="preserve">Global dietary guideline influence; restaurant menus; supermarket products</w:t>
            </w:r>
          </w:p>
        </w:tc>
      </w:tr>
      <w:tr>
        <w:tc>
          <w:tcPr/>
          <w:p>
            <w:pPr>
              <w:pStyle w:val="Compact"/>
              <w:jc w:val="left"/>
            </w:pPr>
            <w:r>
              <w:rPr>
                <w:b/>
                <w:bCs/>
              </w:rPr>
              <w:t xml:space="preserve">Nordic diet</w:t>
            </w:r>
          </w:p>
        </w:tc>
        <w:tc>
          <w:tcPr/>
          <w:p>
            <w:pPr>
              <w:pStyle w:val="Compact"/>
              <w:jc w:val="left"/>
            </w:pPr>
            <w:r>
              <w:t xml:space="preserve">New Nordic Cuisine movement; sustainability emphasis</w:t>
            </w:r>
          </w:p>
        </w:tc>
        <w:tc>
          <w:tcPr/>
          <w:p>
            <w:pPr>
              <w:pStyle w:val="Compact"/>
              <w:jc w:val="left"/>
            </w:pPr>
            <w:r>
              <w:t xml:space="preserve">Similar principles to Mediterranean; local, seasonal, sustainable</w:t>
            </w:r>
          </w:p>
        </w:tc>
      </w:tr>
      <w:tr>
        <w:tc>
          <w:tcPr/>
          <w:p>
            <w:pPr>
              <w:pStyle w:val="Compact"/>
              <w:jc w:val="left"/>
            </w:pPr>
            <w:r>
              <w:rPr>
                <w:b/>
                <w:bCs/>
              </w:rPr>
              <w:t xml:space="preserve">Traditional Asian diets</w:t>
            </w:r>
            <w:r>
              <w:t xml:space="preserve"> </w:t>
            </w:r>
            <w:r>
              <w:t xml:space="preserve">(Japanese, Korean)</w:t>
            </w:r>
          </w:p>
        </w:tc>
        <w:tc>
          <w:tcPr/>
          <w:p>
            <w:pPr>
              <w:pStyle w:val="Compact"/>
              <w:jc w:val="left"/>
            </w:pPr>
            <w:r>
              <w:t xml:space="preserve">WHO recognition; longevity research</w:t>
            </w:r>
          </w:p>
        </w:tc>
        <w:tc>
          <w:tcPr/>
          <w:p>
            <w:pPr>
              <w:pStyle w:val="Compact"/>
              <w:jc w:val="left"/>
            </w:pPr>
            <w:r>
              <w:t xml:space="preserve">Washoku (Japanese) UNESCO recognition; fermented foods trend</w:t>
            </w:r>
          </w:p>
        </w:tc>
      </w:tr>
      <w:tr>
        <w:tc>
          <w:tcPr/>
          <w:p>
            <w:pPr>
              <w:pStyle w:val="Compact"/>
              <w:jc w:val="left"/>
            </w:pPr>
            <w:r>
              <w:rPr>
                <w:b/>
                <w:bCs/>
              </w:rPr>
              <w:t xml:space="preserve">Plant-based traditional diets</w:t>
            </w:r>
            <w:r>
              <w:t xml:space="preserve"> </w:t>
            </w:r>
            <w:r>
              <w:t xml:space="preserve">(Indian, Ethiopian)</w:t>
            </w:r>
          </w:p>
        </w:tc>
        <w:tc>
          <w:tcPr/>
          <w:p>
            <w:pPr>
              <w:pStyle w:val="Compact"/>
              <w:jc w:val="left"/>
            </w:pPr>
            <w:r>
              <w:t xml:space="preserve">Vegetarian heritage; spice use</w:t>
            </w:r>
          </w:p>
        </w:tc>
        <w:tc>
          <w:tcPr/>
          <w:p>
            <w:pPr>
              <w:pStyle w:val="Compact"/>
              <w:jc w:val="left"/>
            </w:pPr>
            <w:r>
              <w:t xml:space="preserve">Vegan movement adoption; anti-inflammatory interest</w:t>
            </w:r>
          </w:p>
        </w:tc>
      </w:tr>
      <w:tr>
        <w:tc>
          <w:tcPr/>
          <w:p>
            <w:pPr>
              <w:pStyle w:val="Compact"/>
              <w:jc w:val="left"/>
            </w:pPr>
            <w:r>
              <w:rPr>
                <w:b/>
                <w:bCs/>
              </w:rPr>
              <w:t xml:space="preserve">Indigenous food systems</w:t>
            </w:r>
          </w:p>
        </w:tc>
        <w:tc>
          <w:tcPr/>
          <w:p>
            <w:pPr>
              <w:pStyle w:val="Compact"/>
              <w:jc w:val="left"/>
            </w:pPr>
            <w:r>
              <w:t xml:space="preserve">Slow Food movement; food sovereignty</w:t>
            </w:r>
          </w:p>
        </w:tc>
        <w:tc>
          <w:tcPr/>
          <w:p>
            <w:pPr>
              <w:pStyle w:val="Compact"/>
              <w:jc w:val="left"/>
            </w:pPr>
            <w:r>
              <w:t xml:space="preserve">Revitalization efforts; adaptation to modern contexts</w:t>
            </w:r>
          </w:p>
        </w:tc>
      </w:tr>
    </w:tbl>
    <w:p>
      <w:pPr>
        <w:pStyle w:val="a0"/>
      </w:pPr>
      <w:r>
        <w:t xml:space="preserve">This</w:t>
      </w:r>
      <w:r>
        <w:t xml:space="preserve"> </w:t>
      </w:r>
      <w:r>
        <w:rPr>
          <w:b/>
          <w:bCs/>
        </w:rPr>
        <w:t xml:space="preserve">“</w:t>
      </w:r>
      <w:r>
        <w:rPr>
          <w:b/>
          <w:bCs/>
        </w:rPr>
        <w:t xml:space="preserve">re-traditionalization</w:t>
      </w:r>
      <w:r>
        <w:rPr>
          <w:b/>
          <w:bCs/>
        </w:rPr>
        <w:t xml:space="preserve">”</w:t>
      </w:r>
      <w:r>
        <w:t xml:space="preserve"> </w:t>
      </w:r>
      <w:r>
        <w:t xml:space="preserve">faces challenges:</w:t>
      </w:r>
      <w:r>
        <w:t xml:space="preserve"> </w:t>
      </w:r>
      <w:r>
        <w:rPr>
          <w:b/>
          <w:bCs/>
        </w:rPr>
        <w:t xml:space="preserve">authenticity versus adaptation</w:t>
      </w:r>
      <w:r>
        <w:t xml:space="preserve">;</w:t>
      </w:r>
      <w:r>
        <w:t xml:space="preserve"> </w:t>
      </w:r>
      <w:r>
        <w:rPr>
          <w:b/>
          <w:bCs/>
        </w:rPr>
        <w:t xml:space="preserve">access and affordability</w:t>
      </w:r>
      <w:r>
        <w:t xml:space="preserve">;</w:t>
      </w:r>
      <w:r>
        <w:t xml:space="preserve"> </w:t>
      </w:r>
      <w:r>
        <w:rPr>
          <w:b/>
          <w:bCs/>
        </w:rPr>
        <w:t xml:space="preserve">time and skill requirements</w:t>
      </w:r>
      <w:r>
        <w:t xml:space="preserve">; and</w:t>
      </w:r>
      <w:r>
        <w:t xml:space="preserve"> </w:t>
      </w:r>
      <w:r>
        <w:rPr>
          <w:b/>
          <w:bCs/>
        </w:rPr>
        <w:t xml:space="preserve">cultural appropriation concerns</w:t>
      </w:r>
      <w:r>
        <w:t xml:space="preserve">. However, it also offers</w:t>
      </w:r>
      <w:r>
        <w:t xml:space="preserve"> </w:t>
      </w:r>
      <w:r>
        <w:rPr>
          <w:b/>
          <w:bCs/>
        </w:rPr>
        <w:t xml:space="preserve">models for sustainable, healthy eating</w:t>
      </w:r>
      <w:r>
        <w:t xml:space="preserve"> </w:t>
      </w:r>
      <w:r>
        <w:t xml:space="preserve">that</w:t>
      </w:r>
      <w:r>
        <w:t xml:space="preserve"> </w:t>
      </w:r>
      <w:r>
        <w:rPr>
          <w:b/>
          <w:bCs/>
        </w:rPr>
        <w:t xml:space="preserve">predate and may outlast industrial food systems</w:t>
      </w:r>
      <w:r>
        <w:t xml:space="preserve">.</w:t>
      </w:r>
    </w:p>
    <w:bookmarkEnd w:id="181"/>
    <w:bookmarkEnd w:id="182"/>
    <w:bookmarkEnd w:id="183"/>
    <w:bookmarkStart w:id="200" w:name="X8ee6cfdf46bdfb10cc11baba5974c2c6c0465b1"/>
    <w:p>
      <w:pPr>
        <w:pStyle w:val="2"/>
      </w:pPr>
      <w:r>
        <w:t xml:space="preserve">8. Recent Research Frontiers and Emerging Evidence</w:t>
      </w:r>
    </w:p>
    <w:bookmarkStart w:id="187" w:name="precision-and-personalized-nutrition"/>
    <w:p>
      <w:pPr>
        <w:pStyle w:val="3"/>
      </w:pPr>
      <w:r>
        <w:t xml:space="preserve">8.1 Precision and Personalized Nutrition</w:t>
      </w:r>
    </w:p>
    <w:bookmarkStart w:id="184" w:name="X61f8e77e6b9666f2a7b418d0916243a8100b0c9"/>
    <w:p>
      <w:pPr>
        <w:pStyle w:val="4"/>
      </w:pPr>
      <w:r>
        <w:t xml:space="preserve">8.1.1 Genetic Variation: Lactase Persistence, Fat Metabolism, Micronutrient Handling</w:t>
      </w:r>
    </w:p>
    <w:p>
      <w:pPr>
        <w:pStyle w:val="FirstParagraph"/>
      </w:pPr>
      <w:r>
        <w:rPr>
          <w:b/>
          <w:bCs/>
        </w:rPr>
        <w:t xml:space="preserve">Human genetic variation substantially modifies nutritional responses</w:t>
      </w:r>
      <w:r>
        <w:t xml:space="preserve">, forming the basis for precision nutrition:</w:t>
      </w:r>
    </w:p>
    <w:tbl>
      <w:tblPr>
        <w:tblStyle w:val="Table"/>
        <w:tblW w:type="pct" w:w="5000"/>
        <w:jc w:val="left"/>
        <w:tblLayout w:type="fixed"/>
        <w:tblLook w:firstRow="1" w:lastRow="0" w:firstColumn="0" w:lastColumn="0" w:noHBand="0" w:noVBand="0" w:val="0020"/>
      </w:tblPr>
      <w:tblGrid>
        <w:gridCol w:w="1788"/>
        <w:gridCol w:w="3065"/>
        <w:gridCol w:w="3065"/>
      </w:tblGrid>
      <w:tr>
        <w:trPr>
          <w:tblHeader w:val="on"/>
        </w:trPr>
        <w:tc>
          <w:tcPr/>
          <w:p>
            <w:pPr>
              <w:pStyle w:val="Compact"/>
              <w:jc w:val="left"/>
            </w:pPr>
            <w:r>
              <w:t xml:space="preserve">Genetic Variant</w:t>
            </w:r>
          </w:p>
        </w:tc>
        <w:tc>
          <w:tcPr/>
          <w:p>
            <w:pPr>
              <w:pStyle w:val="Compact"/>
              <w:jc w:val="left"/>
            </w:pPr>
            <w:r>
              <w:t xml:space="preserve">Population Distribution</w:t>
            </w:r>
          </w:p>
        </w:tc>
        <w:tc>
          <w:tcPr/>
          <w:p>
            <w:pPr>
              <w:pStyle w:val="Compact"/>
              <w:jc w:val="left"/>
            </w:pPr>
            <w:r>
              <w:t xml:space="preserve">Nutritional Implication</w:t>
            </w:r>
          </w:p>
        </w:tc>
      </w:tr>
      <w:tr>
        <w:tc>
          <w:tcPr/>
          <w:p>
            <w:pPr>
              <w:pStyle w:val="Compact"/>
              <w:jc w:val="left"/>
            </w:pPr>
            <w:r>
              <w:rPr>
                <w:b/>
                <w:bCs/>
              </w:rPr>
              <w:t xml:space="preserve">Lactase persistence (LCT -13910 C&gt;T)</w:t>
            </w:r>
          </w:p>
        </w:tc>
        <w:tc>
          <w:tcPr/>
          <w:p>
            <w:pPr>
              <w:pStyle w:val="Compact"/>
              <w:jc w:val="left"/>
            </w:pPr>
            <w:r>
              <w:t xml:space="preserve">90%+ Northern European; 5–20% East Asian; variable elsewhere</w:t>
            </w:r>
          </w:p>
        </w:tc>
        <w:tc>
          <w:tcPr/>
          <w:p>
            <w:pPr>
              <w:pStyle w:val="Compact"/>
              <w:jc w:val="left"/>
            </w:pPr>
            <w:r>
              <w:t xml:space="preserve">Lactose digestion into adulthood; dairy consumption patterns</w:t>
            </w:r>
          </w:p>
        </w:tc>
      </w:tr>
      <w:tr>
        <w:tc>
          <w:tcPr/>
          <w:p>
            <w:pPr>
              <w:pStyle w:val="Compact"/>
              <w:jc w:val="left"/>
            </w:pPr>
            <w:r>
              <w:rPr>
                <w:b/>
                <w:bCs/>
              </w:rPr>
              <w:t xml:space="preserve">FADS1/FADS2</w:t>
            </w:r>
            <w:r>
              <w:t xml:space="preserve"> </w:t>
            </w:r>
            <w:r>
              <w:t xml:space="preserve">(fatty acid desaturase)</w:t>
            </w:r>
          </w:p>
        </w:tc>
        <w:tc>
          <w:tcPr/>
          <w:p>
            <w:pPr>
              <w:pStyle w:val="Compact"/>
              <w:jc w:val="left"/>
            </w:pPr>
            <w:r>
              <w:t xml:space="preserve">Variable; affects PUFA conversion efficiency</w:t>
            </w:r>
          </w:p>
        </w:tc>
        <w:tc>
          <w:tcPr/>
          <w:p>
            <w:pPr>
              <w:pStyle w:val="Compact"/>
              <w:jc w:val="left"/>
            </w:pPr>
            <w:r>
              <w:t xml:space="preserve">ALA-to-EPA/DHA conversion; omega-3 requirements may vary</w:t>
            </w:r>
          </w:p>
        </w:tc>
      </w:tr>
      <w:tr>
        <w:tc>
          <w:tcPr/>
          <w:p>
            <w:pPr>
              <w:pStyle w:val="Compact"/>
              <w:jc w:val="left"/>
            </w:pPr>
            <w:r>
              <w:rPr>
                <w:b/>
                <w:bCs/>
              </w:rPr>
              <w:t xml:space="preserve">APOE4</w:t>
            </w:r>
            <w:r>
              <w:t xml:space="preserve"> </w:t>
            </w:r>
            <w:r>
              <w:t xml:space="preserve">(apolipoprotein E)</w:t>
            </w:r>
          </w:p>
        </w:tc>
        <w:tc>
          <w:tcPr/>
          <w:p>
            <w:pPr>
              <w:pStyle w:val="Compact"/>
              <w:jc w:val="left"/>
            </w:pPr>
            <w:r>
              <w:t xml:space="preserve">~15% European; ~25% African; higher in some populations</w:t>
            </w:r>
          </w:p>
        </w:tc>
        <w:tc>
          <w:tcPr/>
          <w:p>
            <w:pPr>
              <w:pStyle w:val="Compact"/>
              <w:jc w:val="left"/>
            </w:pPr>
            <w:r>
              <w:t xml:space="preserve">Saturated fat sensitivity; Alzheimer’s risk; statin response</w:t>
            </w:r>
          </w:p>
        </w:tc>
      </w:tr>
      <w:tr>
        <w:tc>
          <w:tcPr/>
          <w:p>
            <w:pPr>
              <w:pStyle w:val="Compact"/>
              <w:jc w:val="left"/>
            </w:pPr>
            <w:r>
              <w:rPr>
                <w:b/>
                <w:bCs/>
              </w:rPr>
              <w:t xml:space="preserve">MTHFR C677T</w:t>
            </w:r>
          </w:p>
        </w:tc>
        <w:tc>
          <w:tcPr/>
          <w:p>
            <w:pPr>
              <w:pStyle w:val="Compact"/>
              <w:jc w:val="left"/>
            </w:pPr>
            <w:r>
              <w:t xml:space="preserve">8–20% homozygous depending on population</w:t>
            </w:r>
          </w:p>
        </w:tc>
        <w:tc>
          <w:tcPr/>
          <w:p>
            <w:pPr>
              <w:pStyle w:val="Compact"/>
              <w:jc w:val="left"/>
            </w:pPr>
            <w:r>
              <w:t xml:space="preserve">Folate requirements elevated; homocysteine metabolism impaired</w:t>
            </w:r>
          </w:p>
        </w:tc>
      </w:tr>
      <w:tr>
        <w:tc>
          <w:tcPr/>
          <w:p>
            <w:pPr>
              <w:pStyle w:val="Compact"/>
              <w:jc w:val="left"/>
            </w:pPr>
            <w:r>
              <w:rPr>
                <w:b/>
                <w:bCs/>
              </w:rPr>
              <w:t xml:space="preserve">AMY1 copy number variation</w:t>
            </w:r>
          </w:p>
        </w:tc>
        <w:tc>
          <w:tcPr/>
          <w:p>
            <w:pPr>
              <w:pStyle w:val="Compact"/>
              <w:jc w:val="left"/>
            </w:pPr>
            <w:r>
              <w:t xml:space="preserve">2–16 copies; higher in starch-consuming populations</w:t>
            </w:r>
          </w:p>
        </w:tc>
        <w:tc>
          <w:tcPr/>
          <w:p>
            <w:pPr>
              <w:pStyle w:val="Compact"/>
              <w:jc w:val="left"/>
            </w:pPr>
            <w:r>
              <w:t xml:space="preserve">Salivary amylase production; glycemic response to starch</w:t>
            </w:r>
          </w:p>
        </w:tc>
      </w:tr>
      <w:tr>
        <w:tc>
          <w:tcPr/>
          <w:p>
            <w:pPr>
              <w:pStyle w:val="Compact"/>
              <w:jc w:val="left"/>
            </w:pPr>
            <w:r>
              <w:rPr>
                <w:b/>
                <w:bCs/>
              </w:rPr>
              <w:t xml:space="preserve">TAS2R38</w:t>
            </w:r>
            <w:r>
              <w:t xml:space="preserve"> </w:t>
            </w:r>
            <w:r>
              <w:t xml:space="preserve">(bitter taste receptor)</w:t>
            </w:r>
          </w:p>
        </w:tc>
        <w:tc>
          <w:tcPr/>
          <w:p>
            <w:pPr>
              <w:pStyle w:val="Compact"/>
              <w:jc w:val="left"/>
            </w:pPr>
            <w:r>
              <w:t xml:space="preserve">Variable; determines PTC/PROP tasting</w:t>
            </w:r>
          </w:p>
        </w:tc>
        <w:tc>
          <w:tcPr/>
          <w:p>
            <w:pPr>
              <w:pStyle w:val="Compact"/>
              <w:jc w:val="left"/>
            </w:pPr>
            <w:r>
              <w:t xml:space="preserve">Vegetable preferences; bitter compound sensitivity; may affect vegetable intake</w:t>
            </w:r>
          </w:p>
        </w:tc>
      </w:tr>
      <w:tr>
        <w:tc>
          <w:tcPr/>
          <w:p>
            <w:pPr>
              <w:pStyle w:val="Compact"/>
              <w:jc w:val="left"/>
            </w:pPr>
            <w:r>
              <w:rPr>
                <w:b/>
                <w:bCs/>
              </w:rPr>
              <w:t xml:space="preserve">FTO</w:t>
            </w:r>
            <w:r>
              <w:t xml:space="preserve"> </w:t>
            </w:r>
            <w:r>
              <w:t xml:space="preserve">(fat mass and obesity associated)</w:t>
            </w:r>
          </w:p>
        </w:tc>
        <w:tc>
          <w:tcPr/>
          <w:p>
            <w:pPr>
              <w:pStyle w:val="Compact"/>
              <w:jc w:val="left"/>
            </w:pPr>
            <w:r>
              <w:t xml:space="preserve">Common variants affect obesity risk</w:t>
            </w:r>
          </w:p>
        </w:tc>
        <w:tc>
          <w:tcPr/>
          <w:p>
            <w:pPr>
              <w:pStyle w:val="Compact"/>
              <w:jc w:val="left"/>
            </w:pPr>
            <w:r>
              <w:t xml:space="preserve">Appetite regulation; satiety response; weight loss intervention response</w:t>
            </w:r>
          </w:p>
        </w:tc>
      </w:tr>
    </w:tbl>
    <w:p>
      <w:pPr>
        <w:pStyle w:val="a0"/>
      </w:pPr>
      <w:r>
        <w:rPr>
          <w:b/>
          <w:bCs/>
        </w:rPr>
        <w:t xml:space="preserve">Current clinical utility is limited</w:t>
      </w:r>
      <w:r>
        <w:t xml:space="preserve">: most variants explain small effect sizes;</w:t>
      </w:r>
      <w:r>
        <w:t xml:space="preserve"> </w:t>
      </w:r>
      <w:r>
        <w:rPr>
          <w:b/>
          <w:bCs/>
        </w:rPr>
        <w:t xml:space="preserve">gene-diet interactions are complex and context-dependent</w:t>
      </w:r>
      <w:r>
        <w:t xml:space="preserve">; and</w:t>
      </w:r>
      <w:r>
        <w:t xml:space="preserve"> </w:t>
      </w:r>
      <w:r>
        <w:rPr>
          <w:b/>
          <w:bCs/>
        </w:rPr>
        <w:t xml:space="preserve">direct-to-consumer testing quality varies</w:t>
      </w:r>
      <w:r>
        <w:t xml:space="preserve">. However,</w:t>
      </w:r>
      <w:r>
        <w:t xml:space="preserve"> </w:t>
      </w:r>
      <w:r>
        <w:rPr>
          <w:b/>
          <w:bCs/>
        </w:rPr>
        <w:t xml:space="preserve">research is advancing rapidly</w:t>
      </w:r>
      <w:r>
        <w:t xml:space="preserve">, and</w:t>
      </w:r>
      <w:r>
        <w:t xml:space="preserve"> </w:t>
      </w:r>
      <w:r>
        <w:rPr>
          <w:b/>
          <w:bCs/>
        </w:rPr>
        <w:t xml:space="preserve">selected applications</w:t>
      </w:r>
      <w:r>
        <w:t xml:space="preserve"> </w:t>
      </w:r>
      <w:r>
        <w:t xml:space="preserve">(lactose intolerance confirmation; APOE4-informed saturated fat advice; MTHFR-guided folate supplementation) are</w:t>
      </w:r>
      <w:r>
        <w:t xml:space="preserve"> </w:t>
      </w:r>
      <w:r>
        <w:rPr>
          <w:b/>
          <w:bCs/>
        </w:rPr>
        <w:t xml:space="preserve">clinically reasonable</w:t>
      </w:r>
      <w:r>
        <w:t xml:space="preserve">.</w:t>
      </w:r>
    </w:p>
    <w:bookmarkEnd w:id="184"/>
    <w:bookmarkStart w:id="185" w:name="X7c33b95924bde7bea57d52f7306bfa1a343af6b"/>
    <w:p>
      <w:pPr>
        <w:pStyle w:val="4"/>
      </w:pPr>
      <w:r>
        <w:t xml:space="preserve">8.1.2 Microbiome-Diet Interactions and Metabolic Responses</w:t>
      </w:r>
    </w:p>
    <w:p>
      <w:pPr>
        <w:pStyle w:val="FirstParagraph"/>
      </w:pPr>
      <w:r>
        <w:t xml:space="preserve">The</w:t>
      </w:r>
      <w:r>
        <w:t xml:space="preserve"> </w:t>
      </w:r>
      <w:r>
        <w:rPr>
          <w:b/>
          <w:bCs/>
        </w:rPr>
        <w:t xml:space="preserve">gut microbiome—approximately 39 trillion microorganisms with 3 million genes—profoundly influences nutrition</w:t>
      </w:r>
      <w:r>
        <w:t xml:space="preserve">:</w:t>
      </w:r>
    </w:p>
    <w:tbl>
      <w:tblPr>
        <w:tblStyle w:val="Table"/>
        <w:tblW w:type="pct" w:w="5000"/>
        <w:jc w:val="left"/>
        <w:tblLayout w:type="fixed"/>
        <w:tblLook w:firstRow="1" w:lastRow="0" w:firstColumn="0" w:lastColumn="0" w:noHBand="0" w:noVBand="0" w:val="0020"/>
      </w:tblPr>
      <w:tblGrid>
        <w:gridCol w:w="2880"/>
        <w:gridCol w:w="2736"/>
        <w:gridCol w:w="2304"/>
      </w:tblGrid>
      <w:tr>
        <w:trPr>
          <w:tblHeader w:val="on"/>
        </w:trPr>
        <w:tc>
          <w:tcPr/>
          <w:p>
            <w:pPr>
              <w:pStyle w:val="Compact"/>
              <w:jc w:val="left"/>
            </w:pPr>
            <w:r>
              <w:t xml:space="preserve">Microbiome Function</w:t>
            </w:r>
          </w:p>
        </w:tc>
        <w:tc>
          <w:tcPr/>
          <w:p>
            <w:pPr>
              <w:pStyle w:val="Compact"/>
              <w:jc w:val="left"/>
            </w:pPr>
            <w:r>
              <w:t xml:space="preserve">Dietary Modulators</w:t>
            </w:r>
          </w:p>
        </w:tc>
        <w:tc>
          <w:tcPr/>
          <w:p>
            <w:pPr>
              <w:pStyle w:val="Compact"/>
              <w:jc w:val="left"/>
            </w:pPr>
            <w:r>
              <w:t xml:space="preserve">Health Relevance</w:t>
            </w:r>
          </w:p>
        </w:tc>
      </w:tr>
      <w:tr>
        <w:tc>
          <w:tcPr/>
          <w:p>
            <w:pPr>
              <w:pStyle w:val="Compact"/>
              <w:jc w:val="left"/>
            </w:pPr>
            <w:r>
              <w:rPr>
                <w:b/>
                <w:bCs/>
              </w:rPr>
              <w:t xml:space="preserve">Fermentation of dietary fiber</w:t>
            </w:r>
          </w:p>
        </w:tc>
        <w:tc>
          <w:tcPr/>
          <w:p>
            <w:pPr>
              <w:pStyle w:val="Compact"/>
              <w:jc w:val="left"/>
            </w:pPr>
            <w:r>
              <w:t xml:space="preserve">Resistant starch, inulin, oligosaccharides, whole grains</w:t>
            </w:r>
          </w:p>
        </w:tc>
        <w:tc>
          <w:tcPr/>
          <w:p>
            <w:pPr>
              <w:pStyle w:val="Compact"/>
              <w:jc w:val="left"/>
            </w:pPr>
            <w:r>
              <w:t xml:space="preserve">Short-chain fatty acid production; gut barrier integrity; immune regulation</w:t>
            </w:r>
          </w:p>
        </w:tc>
      </w:tr>
      <w:tr>
        <w:tc>
          <w:tcPr/>
          <w:p>
            <w:pPr>
              <w:pStyle w:val="Compact"/>
              <w:jc w:val="left"/>
            </w:pPr>
            <w:r>
              <w:rPr>
                <w:b/>
                <w:bCs/>
              </w:rPr>
              <w:t xml:space="preserve">Bile acid metabolism</w:t>
            </w:r>
          </w:p>
        </w:tc>
        <w:tc>
          <w:tcPr/>
          <w:p>
            <w:pPr>
              <w:pStyle w:val="Compact"/>
              <w:jc w:val="left"/>
            </w:pPr>
            <w:r>
              <w:t xml:space="preserve">Fat intake; fiber; probiotics</w:t>
            </w:r>
          </w:p>
        </w:tc>
        <w:tc>
          <w:tcPr/>
          <w:p>
            <w:pPr>
              <w:pStyle w:val="Compact"/>
              <w:jc w:val="left"/>
            </w:pPr>
            <w:r>
              <w:t xml:space="preserve">Secondary bile acid production; cholesterol metabolism; GLP-1 secretion</w:t>
            </w:r>
          </w:p>
        </w:tc>
      </w:tr>
      <w:tr>
        <w:tc>
          <w:tcPr/>
          <w:p>
            <w:pPr>
              <w:pStyle w:val="Compact"/>
              <w:jc w:val="left"/>
            </w:pPr>
            <w:r>
              <w:rPr>
                <w:b/>
                <w:bCs/>
              </w:rPr>
              <w:t xml:space="preserve">Amino acid metabolism</w:t>
            </w:r>
          </w:p>
        </w:tc>
        <w:tc>
          <w:tcPr/>
          <w:p>
            <w:pPr>
              <w:pStyle w:val="Compact"/>
              <w:jc w:val="left"/>
            </w:pPr>
            <w:r>
              <w:t xml:space="preserve">Protein intake; protein quality</w:t>
            </w:r>
          </w:p>
        </w:tc>
        <w:tc>
          <w:tcPr/>
          <w:p>
            <w:pPr>
              <w:pStyle w:val="Compact"/>
              <w:jc w:val="left"/>
            </w:pPr>
            <w:r>
              <w:t xml:space="preserve">Tryptophan-to-serotonin pathway; branched-chain amino acid handling</w:t>
            </w:r>
          </w:p>
        </w:tc>
      </w:tr>
      <w:tr>
        <w:tc>
          <w:tcPr/>
          <w:p>
            <w:pPr>
              <w:pStyle w:val="Compact"/>
              <w:jc w:val="left"/>
            </w:pPr>
            <w:r>
              <w:rPr>
                <w:b/>
                <w:bCs/>
              </w:rPr>
              <w:t xml:space="preserve">Vitamin synthesis</w:t>
            </w:r>
            <w:r>
              <w:t xml:space="preserve"> </w:t>
            </w:r>
            <w:r>
              <w:t xml:space="preserve">(B12, K, biotin, folate)</w:t>
            </w:r>
          </w:p>
        </w:tc>
        <w:tc>
          <w:tcPr/>
          <w:p>
            <w:pPr>
              <w:pStyle w:val="Compact"/>
              <w:jc w:val="left"/>
            </w:pPr>
            <w:r>
              <w:t xml:space="preserve">Microbiome composition; prebiotics</w:t>
            </w:r>
          </w:p>
        </w:tc>
        <w:tc>
          <w:tcPr/>
          <w:p>
            <w:pPr>
              <w:pStyle w:val="Compact"/>
              <w:jc w:val="left"/>
            </w:pPr>
            <w:r>
              <w:t xml:space="preserve">Contribution to host vitamin status; varies individually</w:t>
            </w:r>
          </w:p>
        </w:tc>
      </w:tr>
      <w:tr>
        <w:tc>
          <w:tcPr/>
          <w:p>
            <w:pPr>
              <w:pStyle w:val="Compact"/>
              <w:jc w:val="left"/>
            </w:pPr>
            <w:r>
              <w:rPr>
                <w:b/>
                <w:bCs/>
              </w:rPr>
              <w:t xml:space="preserve">Xenobiotic metabolism</w:t>
            </w:r>
          </w:p>
        </w:tc>
        <w:tc>
          <w:tcPr/>
          <w:p>
            <w:pPr>
              <w:pStyle w:val="Compact"/>
              <w:jc w:val="left"/>
            </w:pPr>
            <w:r>
              <w:t xml:space="preserve">Polyphenols; medications; environmental chemicals</w:t>
            </w:r>
          </w:p>
        </w:tc>
        <w:tc>
          <w:tcPr/>
          <w:p>
            <w:pPr>
              <w:pStyle w:val="Compact"/>
              <w:jc w:val="left"/>
            </w:pPr>
            <w:r>
              <w:t xml:space="preserve">Bioactivation or detoxification; individual variation in drug response</w:t>
            </w:r>
          </w:p>
        </w:tc>
      </w:tr>
      <w:tr>
        <w:tc>
          <w:tcPr/>
          <w:p>
            <w:pPr>
              <w:pStyle w:val="Compact"/>
              <w:jc w:val="left"/>
            </w:pPr>
            <w:r>
              <w:rPr>
                <w:b/>
                <w:bCs/>
              </w:rPr>
              <w:t xml:space="preserve">Gut-brain axis signaling</w:t>
            </w:r>
          </w:p>
        </w:tc>
        <w:tc>
          <w:tcPr/>
          <w:p>
            <w:pPr>
              <w:pStyle w:val="Compact"/>
              <w:jc w:val="left"/>
            </w:pPr>
            <w:r>
              <w:t xml:space="preserve">Prebiotics; probiotics; fermented foods</w:t>
            </w:r>
          </w:p>
        </w:tc>
        <w:tc>
          <w:tcPr/>
          <w:p>
            <w:pPr>
              <w:pStyle w:val="Compact"/>
              <w:jc w:val="left"/>
            </w:pPr>
            <w:r>
              <w:t xml:space="preserve">Vagal nerve signaling; neurotransmitter production; mood and cognition</w:t>
            </w:r>
          </w:p>
        </w:tc>
      </w:tr>
    </w:tbl>
    <w:p>
      <w:pPr>
        <w:pStyle w:val="a0"/>
      </w:pPr>
      <w:r>
        <w:rPr>
          <w:b/>
          <w:bCs/>
        </w:rPr>
        <w:t xml:space="preserve">Personalized glycemic responses to identical foods</w:t>
      </w:r>
      <w:r>
        <w:t xml:space="preserve"> </w:t>
      </w:r>
      <w:r>
        <w:t xml:space="preserve">(Zeevi et al., 2015,</w:t>
      </w:r>
      <w:r>
        <w:t xml:space="preserve"> </w:t>
      </w:r>
      <w:r>
        <w:rPr>
          <w:i/>
          <w:iCs/>
        </w:rPr>
        <w:t xml:space="preserve">Cell</w:t>
      </w:r>
      <w:r>
        <w:t xml:space="preserve">) demonstrated that</w:t>
      </w:r>
      <w:r>
        <w:t xml:space="preserve"> </w:t>
      </w:r>
      <w:r>
        <w:rPr>
          <w:b/>
          <w:bCs/>
        </w:rPr>
        <w:t xml:space="preserve">microbiome composition was a stronger predictor of postprandial glucose than macronutrient content</w:t>
      </w:r>
      <w:r>
        <w:t xml:space="preserve">, leading to development of</w:t>
      </w:r>
      <w:r>
        <w:t xml:space="preserve"> </w:t>
      </w:r>
      <w:r>
        <w:rPr>
          <w:b/>
          <w:bCs/>
        </w:rPr>
        <w:t xml:space="preserve">algorithm-based personalized nutrition recommendations</w:t>
      </w:r>
      <w:r>
        <w:t xml:space="preserve">. However,</w:t>
      </w:r>
      <w:r>
        <w:t xml:space="preserve"> </w:t>
      </w:r>
      <w:r>
        <w:rPr>
          <w:b/>
          <w:bCs/>
        </w:rPr>
        <w:t xml:space="preserve">replication and clinical implementation remain ongoing</w:t>
      </w:r>
      <w:r>
        <w:t xml:space="preserve">.</w:t>
      </w:r>
    </w:p>
    <w:bookmarkEnd w:id="185"/>
    <w:bookmarkStart w:id="186" w:name="X0b9faf94aed7926d86a6c492d5a79daaefe637a"/>
    <w:p>
      <w:pPr>
        <w:pStyle w:val="4"/>
      </w:pPr>
      <w:r>
        <w:t xml:space="preserve">8.1.3 Metabolic Phenotyping and Individualized Recommendations</w:t>
      </w:r>
    </w:p>
    <w:p>
      <w:pPr>
        <w:pStyle w:val="FirstParagraph"/>
      </w:pPr>
      <w:r>
        <w:rPr>
          <w:b/>
          <w:bCs/>
        </w:rPr>
        <w:t xml:space="preserve">Beyond genetics, metabolic phenotyping integrates multiple data layers</w:t>
      </w:r>
      <w:r>
        <w:t xml:space="preserve">:</w:t>
      </w:r>
    </w:p>
    <w:tbl>
      <w:tblPr>
        <w:tblStyle w:val="Table"/>
        <w:tblW w:type="pct" w:w="5000"/>
        <w:jc w:val="left"/>
        <w:tblLayout w:type="fixed"/>
        <w:tblLook w:firstRow="1" w:lastRow="0" w:firstColumn="0" w:lastColumn="0" w:noHBand="0" w:noVBand="0" w:val="0020"/>
      </w:tblPr>
      <w:tblGrid>
        <w:gridCol w:w="3696"/>
        <w:gridCol w:w="1936"/>
        <w:gridCol w:w="2288"/>
      </w:tblGrid>
      <w:tr>
        <w:trPr>
          <w:tblHeader w:val="on"/>
        </w:trPr>
        <w:tc>
          <w:tcPr/>
          <w:p>
            <w:pPr>
              <w:pStyle w:val="Compact"/>
              <w:jc w:val="left"/>
            </w:pPr>
            <w:r>
              <w:t xml:space="preserve">Phenotyping Approach</w:t>
            </w:r>
          </w:p>
        </w:tc>
        <w:tc>
          <w:tcPr/>
          <w:p>
            <w:pPr>
              <w:pStyle w:val="Compact"/>
              <w:jc w:val="left"/>
            </w:pPr>
            <w:r>
              <w:t xml:space="preserve">Data Sources</w:t>
            </w:r>
          </w:p>
        </w:tc>
        <w:tc>
          <w:tcPr/>
          <w:p>
            <w:pPr>
              <w:pStyle w:val="Compact"/>
              <w:jc w:val="left"/>
            </w:pPr>
            <w:r>
              <w:t xml:space="preserve">Application</w:t>
            </w:r>
          </w:p>
        </w:tc>
      </w:tr>
      <w:tr>
        <w:tc>
          <w:tcPr/>
          <w:p>
            <w:pPr>
              <w:pStyle w:val="Compact"/>
              <w:jc w:val="left"/>
            </w:pPr>
            <w:r>
              <w:rPr>
                <w:b/>
                <w:bCs/>
              </w:rPr>
              <w:t xml:space="preserve">Continuous glucose monitoring (CGM)</w:t>
            </w:r>
          </w:p>
        </w:tc>
        <w:tc>
          <w:tcPr/>
          <w:p>
            <w:pPr>
              <w:pStyle w:val="Compact"/>
              <w:jc w:val="left"/>
            </w:pPr>
            <w:r>
              <w:t xml:space="preserve">Interstitial glucose sensors</w:t>
            </w:r>
          </w:p>
        </w:tc>
        <w:tc>
          <w:tcPr/>
          <w:p>
            <w:pPr>
              <w:pStyle w:val="Compact"/>
              <w:jc w:val="left"/>
            </w:pPr>
            <w:r>
              <w:t xml:space="preserve">Individual glycemic response mapping; real-time dietary feedback</w:t>
            </w:r>
          </w:p>
        </w:tc>
      </w:tr>
      <w:tr>
        <w:tc>
          <w:tcPr/>
          <w:p>
            <w:pPr>
              <w:pStyle w:val="Compact"/>
              <w:jc w:val="left"/>
            </w:pPr>
            <w:r>
              <w:rPr>
                <w:b/>
                <w:bCs/>
              </w:rPr>
              <w:t xml:space="preserve">Metabolomics</w:t>
            </w:r>
          </w:p>
        </w:tc>
        <w:tc>
          <w:tcPr/>
          <w:p>
            <w:pPr>
              <w:pStyle w:val="Compact"/>
              <w:jc w:val="left"/>
            </w:pPr>
            <w:r>
              <w:t xml:space="preserve">Blood, urine metabolite profiles</w:t>
            </w:r>
          </w:p>
        </w:tc>
        <w:tc>
          <w:tcPr/>
          <w:p>
            <w:pPr>
              <w:pStyle w:val="Compact"/>
              <w:jc w:val="left"/>
            </w:pPr>
            <w:r>
              <w:t xml:space="preserve">Nutritional status assessment; biomarker discovery; metabolic pathway analysis</w:t>
            </w:r>
          </w:p>
        </w:tc>
      </w:tr>
      <w:tr>
        <w:tc>
          <w:tcPr/>
          <w:p>
            <w:pPr>
              <w:pStyle w:val="Compact"/>
              <w:jc w:val="left"/>
            </w:pPr>
            <w:r>
              <w:rPr>
                <w:b/>
                <w:bCs/>
              </w:rPr>
              <w:t xml:space="preserve">Lipidomics</w:t>
            </w:r>
          </w:p>
        </w:tc>
        <w:tc>
          <w:tcPr/>
          <w:p>
            <w:pPr>
              <w:pStyle w:val="Compact"/>
              <w:jc w:val="left"/>
            </w:pPr>
            <w:r>
              <w:t xml:space="preserve">Detailed lipid subclass analysis</w:t>
            </w:r>
          </w:p>
        </w:tc>
        <w:tc>
          <w:tcPr/>
          <w:p>
            <w:pPr>
              <w:pStyle w:val="Compact"/>
              <w:jc w:val="left"/>
            </w:pPr>
            <w:r>
              <w:t xml:space="preserve">Cardiovascular risk refinement; dietary fat response characterization</w:t>
            </w:r>
          </w:p>
        </w:tc>
      </w:tr>
      <w:tr>
        <w:tc>
          <w:tcPr/>
          <w:p>
            <w:pPr>
              <w:pStyle w:val="Compact"/>
              <w:jc w:val="left"/>
            </w:pPr>
            <w:r>
              <w:rPr>
                <w:b/>
                <w:bCs/>
              </w:rPr>
              <w:t xml:space="preserve">Proteomics</w:t>
            </w:r>
          </w:p>
        </w:tc>
        <w:tc>
          <w:tcPr/>
          <w:p>
            <w:pPr>
              <w:pStyle w:val="Compact"/>
              <w:jc w:val="left"/>
            </w:pPr>
            <w:r>
              <w:t xml:space="preserve">Circulating protein profiles</w:t>
            </w:r>
          </w:p>
        </w:tc>
        <w:tc>
          <w:tcPr/>
          <w:p>
            <w:pPr>
              <w:pStyle w:val="Compact"/>
              <w:jc w:val="left"/>
            </w:pPr>
            <w:r>
              <w:t xml:space="preserve">Inflammatory status; nutritional adequacy markers</w:t>
            </w:r>
          </w:p>
        </w:tc>
      </w:tr>
      <w:tr>
        <w:tc>
          <w:tcPr/>
          <w:p>
            <w:pPr>
              <w:pStyle w:val="Compact"/>
              <w:jc w:val="left"/>
            </w:pPr>
            <w:r>
              <w:rPr>
                <w:b/>
                <w:bCs/>
              </w:rPr>
              <w:t xml:space="preserve">Microbiome profiling</w:t>
            </w:r>
          </w:p>
        </w:tc>
        <w:tc>
          <w:tcPr/>
          <w:p>
            <w:pPr>
              <w:pStyle w:val="Compact"/>
              <w:jc w:val="left"/>
            </w:pPr>
            <w:r>
              <w:t xml:space="preserve">16S rRNA, metagenomic sequencing</w:t>
            </w:r>
          </w:p>
        </w:tc>
        <w:tc>
          <w:tcPr/>
          <w:p>
            <w:pPr>
              <w:pStyle w:val="Compact"/>
              <w:jc w:val="left"/>
            </w:pPr>
            <w:r>
              <w:t xml:space="preserve">Personalized prebiotic/probiotic recommendations; dysbiosis identification</w:t>
            </w:r>
          </w:p>
        </w:tc>
      </w:tr>
    </w:tbl>
    <w:p>
      <w:pPr>
        <w:pStyle w:val="a0"/>
      </w:pPr>
      <w:r>
        <w:rPr>
          <w:b/>
          <w:bCs/>
        </w:rPr>
        <w:t xml:space="preserve">Integration of these data streams through machine learning</w:t>
      </w:r>
      <w:r>
        <w:t xml:space="preserve"> </w:t>
      </w:r>
      <w:r>
        <w:t xml:space="preserve">holds promise for</w:t>
      </w:r>
      <w:r>
        <w:t xml:space="preserve"> </w:t>
      </w:r>
      <w:r>
        <w:rPr>
          <w:b/>
          <w:bCs/>
        </w:rPr>
        <w:t xml:space="preserve">truly individualized nutrition</w:t>
      </w:r>
      <w:r>
        <w:t xml:space="preserve">, but</w:t>
      </w:r>
      <w:r>
        <w:t xml:space="preserve"> </w:t>
      </w:r>
      <w:r>
        <w:rPr>
          <w:b/>
          <w:bCs/>
        </w:rPr>
        <w:t xml:space="preserve">validation, cost-effectiveness, and ethical frameworks require development</w:t>
      </w:r>
      <w:r>
        <w:t xml:space="preserve">.</w:t>
      </w:r>
    </w:p>
    <w:bookmarkEnd w:id="186"/>
    <w:bookmarkEnd w:id="187"/>
    <w:bookmarkStart w:id="191" w:name="Xda3b328c55bb38a1cfb2f9f26fdc4fc921b87ae"/>
    <w:p>
      <w:pPr>
        <w:pStyle w:val="3"/>
      </w:pPr>
      <w:r>
        <w:t xml:space="preserve">8.2 Sustainability and Planetary Health Diets</w:t>
      </w:r>
    </w:p>
    <w:bookmarkStart w:id="188" w:name="eat-lancet-commission-recommendations"/>
    <w:p>
      <w:pPr>
        <w:pStyle w:val="4"/>
      </w:pPr>
      <w:r>
        <w:t xml:space="preserve">8.2.1 EAT-Lancet Commission Recommendations</w:t>
      </w:r>
    </w:p>
    <w:p>
      <w:pPr>
        <w:pStyle w:val="FirstParagraph"/>
      </w:pPr>
      <w:r>
        <w:t xml:space="preserve">The</w:t>
      </w:r>
      <w:r>
        <w:t xml:space="preserve"> </w:t>
      </w:r>
      <w:r>
        <w:rPr>
          <w:b/>
          <w:bCs/>
        </w:rPr>
        <w:t xml:space="preserve">EAT-Lancet Commission on Food, Planet, Health (2019)</w:t>
      </w:r>
      <w:r>
        <w:t xml:space="preserve"> </w:t>
      </w:r>
      <w:r>
        <w:t xml:space="preserve">proposed the first</w:t>
      </w:r>
      <w:r>
        <w:t xml:space="preserve"> </w:t>
      </w:r>
      <w:r>
        <w:rPr>
          <w:b/>
          <w:bCs/>
        </w:rPr>
        <w:t xml:space="preserve">science-based global target for healthy and sustainable diets</w:t>
      </w:r>
      <w:r>
        <w:t xml:space="preserve">:</w:t>
      </w:r>
    </w:p>
    <w:tbl>
      <w:tblPr>
        <w:tblStyle w:val="Table"/>
        <w:tblW w:type="pct" w:w="5000"/>
        <w:jc w:val="left"/>
        <w:tblLayout w:type="fixed"/>
        <w:tblLook w:firstRow="1" w:lastRow="0" w:firstColumn="0" w:lastColumn="0" w:noHBand="0" w:noVBand="0" w:val="0020"/>
      </w:tblPr>
      <w:tblGrid>
        <w:gridCol w:w="1893"/>
        <w:gridCol w:w="4132"/>
        <w:gridCol w:w="1893"/>
      </w:tblGrid>
      <w:tr>
        <w:trPr>
          <w:tblHeader w:val="on"/>
        </w:trPr>
        <w:tc>
          <w:tcPr/>
          <w:p>
            <w:pPr>
              <w:pStyle w:val="Compact"/>
              <w:jc w:val="left"/>
            </w:pPr>
            <w:r>
              <w:t xml:space="preserve">Food Group</w:t>
            </w:r>
          </w:p>
        </w:tc>
        <w:tc>
          <w:tcPr/>
          <w:p>
            <w:pPr>
              <w:pStyle w:val="Compact"/>
              <w:jc w:val="left"/>
            </w:pPr>
            <w:r>
              <w:t xml:space="preserve">Recommended Daily Intake</w:t>
            </w:r>
          </w:p>
        </w:tc>
        <w:tc>
          <w:tcPr/>
          <w:p>
            <w:pPr>
              <w:pStyle w:val="Compact"/>
              <w:jc w:val="left"/>
            </w:pPr>
            <w:r>
              <w:t xml:space="preserve">Rationale</w:t>
            </w:r>
          </w:p>
        </w:tc>
      </w:tr>
      <w:tr>
        <w:tc>
          <w:tcPr/>
          <w:p>
            <w:pPr>
              <w:pStyle w:val="Compact"/>
              <w:jc w:val="left"/>
            </w:pPr>
            <w:r>
              <w:rPr>
                <w:b/>
                <w:bCs/>
              </w:rPr>
              <w:t xml:space="preserve">Whole grains</w:t>
            </w:r>
          </w:p>
        </w:tc>
        <w:tc>
          <w:tcPr/>
          <w:p>
            <w:pPr>
              <w:pStyle w:val="Compact"/>
              <w:jc w:val="left"/>
            </w:pPr>
            <w:r>
              <w:t xml:space="preserve">232 g (dry weight)</w:t>
            </w:r>
          </w:p>
        </w:tc>
        <w:tc>
          <w:tcPr/>
          <w:p>
            <w:pPr>
              <w:pStyle w:val="Compact"/>
              <w:jc w:val="left"/>
            </w:pPr>
            <w:r>
              <w:t xml:space="preserve">Staple energy source; lower environmental impact than animal products</w:t>
            </w:r>
          </w:p>
        </w:tc>
      </w:tr>
      <w:tr>
        <w:tc>
          <w:tcPr/>
          <w:p>
            <w:pPr>
              <w:pStyle w:val="Compact"/>
              <w:jc w:val="left"/>
            </w:pPr>
            <w:r>
              <w:rPr>
                <w:b/>
                <w:bCs/>
              </w:rPr>
              <w:t xml:space="preserve">Vegetables</w:t>
            </w:r>
          </w:p>
        </w:tc>
        <w:tc>
          <w:tcPr/>
          <w:p>
            <w:pPr>
              <w:pStyle w:val="Compact"/>
              <w:jc w:val="left"/>
            </w:pPr>
            <w:r>
              <w:t xml:space="preserve">300 g</w:t>
            </w:r>
          </w:p>
        </w:tc>
        <w:tc>
          <w:tcPr/>
          <w:p>
            <w:pPr>
              <w:pStyle w:val="Compact"/>
              <w:jc w:val="left"/>
            </w:pPr>
            <w:r>
              <w:t xml:space="preserve">Micronutrient density; fiber; low environmental impact</w:t>
            </w:r>
          </w:p>
        </w:tc>
      </w:tr>
      <w:tr>
        <w:tc>
          <w:tcPr/>
          <w:p>
            <w:pPr>
              <w:pStyle w:val="Compact"/>
              <w:jc w:val="left"/>
            </w:pPr>
            <w:r>
              <w:rPr>
                <w:b/>
                <w:bCs/>
              </w:rPr>
              <w:t xml:space="preserve">Fruits</w:t>
            </w:r>
          </w:p>
        </w:tc>
        <w:tc>
          <w:tcPr/>
          <w:p>
            <w:pPr>
              <w:pStyle w:val="Compact"/>
              <w:jc w:val="left"/>
            </w:pPr>
            <w:r>
              <w:t xml:space="preserve">200 g</w:t>
            </w:r>
          </w:p>
        </w:tc>
        <w:tc>
          <w:tcPr/>
          <w:p>
            <w:pPr>
              <w:pStyle w:val="Compact"/>
              <w:jc w:val="left"/>
            </w:pPr>
            <w:r>
              <w:t xml:space="preserve">Micronutrients; fiber; moderate water requirements</w:t>
            </w:r>
          </w:p>
        </w:tc>
      </w:tr>
      <w:tr>
        <w:tc>
          <w:tcPr/>
          <w:p>
            <w:pPr>
              <w:pStyle w:val="Compact"/>
              <w:jc w:val="left"/>
            </w:pPr>
            <w:r>
              <w:rPr>
                <w:b/>
                <w:bCs/>
              </w:rPr>
              <w:t xml:space="preserve">Dairy foods</w:t>
            </w:r>
          </w:p>
        </w:tc>
        <w:tc>
          <w:tcPr/>
          <w:p>
            <w:pPr>
              <w:pStyle w:val="Compact"/>
              <w:jc w:val="left"/>
            </w:pPr>
            <w:r>
              <w:t xml:space="preserve">250 g (milk equivalent)</w:t>
            </w:r>
          </w:p>
        </w:tc>
        <w:tc>
          <w:tcPr/>
          <w:p>
            <w:pPr>
              <w:pStyle w:val="Compact"/>
              <w:jc w:val="left"/>
            </w:pPr>
            <w:r>
              <w:t xml:space="preserve">Calcium, protein; controversial environmental impact</w:t>
            </w:r>
          </w:p>
        </w:tc>
      </w:tr>
      <w:tr>
        <w:tc>
          <w:tcPr/>
          <w:p>
            <w:pPr>
              <w:pStyle w:val="Compact"/>
              <w:jc w:val="left"/>
            </w:pPr>
            <w:r>
              <w:rPr>
                <w:b/>
                <w:bCs/>
              </w:rPr>
              <w:t xml:space="preserve">Protein sources</w:t>
            </w:r>
          </w:p>
        </w:tc>
        <w:tc>
          <w:tcPr/>
          <w:p>
            <w:pPr>
              <w:pStyle w:val="Compact"/>
              <w:jc w:val="left"/>
            </w:pPr>
            <w:r>
              <w:t xml:space="preserve">14 g beef/lamb; 29 g poultry; 13 g eggs; 28 g fish; 50 g legumes; 25 g nuts</w:t>
            </w:r>
          </w:p>
        </w:tc>
        <w:tc>
          <w:tcPr/>
          <w:p>
            <w:pPr>
              <w:pStyle w:val="Compact"/>
              <w:jc w:val="left"/>
            </w:pPr>
            <w:r>
              <w:t xml:space="preserve">Diversified; limits ruminant meat for methane reduction; emphasizes plant protein</w:t>
            </w:r>
          </w:p>
        </w:tc>
      </w:tr>
      <w:tr>
        <w:tc>
          <w:tcPr/>
          <w:p>
            <w:pPr>
              <w:pStyle w:val="Compact"/>
              <w:jc w:val="left"/>
            </w:pPr>
            <w:r>
              <w:rPr>
                <w:b/>
                <w:bCs/>
              </w:rPr>
              <w:t xml:space="preserve">Added fats</w:t>
            </w:r>
          </w:p>
        </w:tc>
        <w:tc>
          <w:tcPr/>
          <w:p>
            <w:pPr>
              <w:pStyle w:val="Compact"/>
              <w:jc w:val="left"/>
            </w:pPr>
            <w:r>
              <w:t xml:space="preserve">50 g (mostly unsaturated)</w:t>
            </w:r>
          </w:p>
        </w:tc>
        <w:tc>
          <w:tcPr/>
          <w:p>
            <w:pPr>
              <w:pStyle w:val="Compact"/>
              <w:jc w:val="left"/>
            </w:pPr>
            <w:r>
              <w:t xml:space="preserve">Energy density; essential fatty acids; palm oil limited for deforestation</w:t>
            </w:r>
          </w:p>
        </w:tc>
      </w:tr>
      <w:tr>
        <w:tc>
          <w:tcPr/>
          <w:p>
            <w:pPr>
              <w:pStyle w:val="Compact"/>
              <w:jc w:val="left"/>
            </w:pPr>
            <w:r>
              <w:rPr>
                <w:b/>
                <w:bCs/>
              </w:rPr>
              <w:t xml:space="preserve">Added sugars</w:t>
            </w:r>
          </w:p>
        </w:tc>
        <w:tc>
          <w:tcPr/>
          <w:p>
            <w:pPr>
              <w:pStyle w:val="Compact"/>
              <w:jc w:val="left"/>
            </w:pPr>
            <w:r>
              <w:t xml:space="preserve">&lt;31 g (all sources)</w:t>
            </w:r>
          </w:p>
        </w:tc>
        <w:tc>
          <w:tcPr/>
          <w:p>
            <w:pPr>
              <w:pStyle w:val="Compact"/>
              <w:jc w:val="left"/>
            </w:pPr>
            <w:r>
              <w:t xml:space="preserve">Obesity and metabolic disease prevention</w:t>
            </w:r>
          </w:p>
        </w:tc>
      </w:tr>
    </w:tbl>
    <w:p>
      <w:pPr>
        <w:pStyle w:val="a0"/>
      </w:pPr>
      <w:r>
        <w:t xml:space="preserve">This</w:t>
      </w:r>
      <w:r>
        <w:t xml:space="preserve"> </w:t>
      </w:r>
      <w:r>
        <w:rPr>
          <w:b/>
          <w:bCs/>
        </w:rPr>
        <w:t xml:space="preserve">“</w:t>
      </w:r>
      <w:r>
        <w:rPr>
          <w:b/>
          <w:bCs/>
        </w:rPr>
        <w:t xml:space="preserve">planetary health diet</w:t>
      </w:r>
      <w:r>
        <w:rPr>
          <w:b/>
          <w:bCs/>
        </w:rPr>
        <w:t xml:space="preserve">”</w:t>
      </w:r>
      <w:r>
        <w:t xml:space="preserve"> </w:t>
      </w:r>
      <w:r>
        <w:t xml:space="preserve">aims to</w:t>
      </w:r>
      <w:r>
        <w:t xml:space="preserve"> </w:t>
      </w:r>
      <w:r>
        <w:rPr>
          <w:b/>
          <w:bCs/>
        </w:rPr>
        <w:t xml:space="preserve">feed 10 billion people within planetary boundaries</w:t>
      </w:r>
      <w:r>
        <w:t xml:space="preserve"> </w:t>
      </w:r>
      <w:r>
        <w:t xml:space="preserve">by 2050, but has</w:t>
      </w:r>
      <w:r>
        <w:t xml:space="preserve"> </w:t>
      </w:r>
      <w:r>
        <w:rPr>
          <w:b/>
          <w:bCs/>
        </w:rPr>
        <w:t xml:space="preserve">faced criticism for</w:t>
      </w:r>
      <w:r>
        <w:t xml:space="preserve">:</w:t>
      </w:r>
      <w:r>
        <w:t xml:space="preserve"> </w:t>
      </w:r>
      <w:r>
        <w:rPr>
          <w:b/>
          <w:bCs/>
        </w:rPr>
        <w:t xml:space="preserve">cultural inappropriateness</w:t>
      </w:r>
      <w:r>
        <w:t xml:space="preserve"> </w:t>
      </w:r>
      <w:r>
        <w:t xml:space="preserve">(one global diet);</w:t>
      </w:r>
      <w:r>
        <w:t xml:space="preserve"> </w:t>
      </w:r>
      <w:r>
        <w:rPr>
          <w:b/>
          <w:bCs/>
        </w:rPr>
        <w:t xml:space="preserve">affordability</w:t>
      </w:r>
      <w:r>
        <w:t xml:space="preserve"> </w:t>
      </w:r>
      <w:r>
        <w:t xml:space="preserve">(costs 1.5–3× income in low-income countries);</w:t>
      </w:r>
      <w:r>
        <w:t xml:space="preserve"> </w:t>
      </w:r>
      <w:r>
        <w:rPr>
          <w:b/>
          <w:bCs/>
        </w:rPr>
        <w:t xml:space="preserve">practical achievability</w:t>
      </w:r>
      <w:r>
        <w:t xml:space="preserve">; and</w:t>
      </w:r>
      <w:r>
        <w:t xml:space="preserve"> </w:t>
      </w:r>
      <w:r>
        <w:rPr>
          <w:b/>
          <w:bCs/>
        </w:rPr>
        <w:t xml:space="preserve">dairy inclusion</w:t>
      </w:r>
      <w:r>
        <w:t xml:space="preserve"> </w:t>
      </w:r>
      <w:r>
        <w:t xml:space="preserve">(contested environmentally and nutritionally).</w:t>
      </w:r>
    </w:p>
    <w:bookmarkEnd w:id="188"/>
    <w:bookmarkStart w:id="189" w:name="X3dfe4777842d1df94bc5a84c7a8ec74bad95465"/>
    <w:p>
      <w:pPr>
        <w:pStyle w:val="4"/>
      </w:pPr>
      <w:r>
        <w:t xml:space="preserve">8.2.2 Plant-Forward Diets for Environmental Impact Reduction</w:t>
      </w:r>
    </w:p>
    <w:p>
      <w:pPr>
        <w:pStyle w:val="FirstParagraph"/>
      </w:pPr>
      <w:r>
        <w:rPr>
          <w:b/>
          <w:bCs/>
        </w:rPr>
        <w:t xml:space="preserve">Food system environmental impacts are substantial</w:t>
      </w:r>
      <w:r>
        <w:t xml:space="preserve">:</w:t>
      </w:r>
    </w:p>
    <w:tbl>
      <w:tblPr>
        <w:tblStyle w:val="Table"/>
        <w:tblW w:type="pct" w:w="5000"/>
        <w:jc w:val="left"/>
        <w:tblLayout w:type="fixed"/>
        <w:tblLook w:firstRow="1" w:lastRow="0" w:firstColumn="0" w:lastColumn="0" w:noHBand="0" w:noVBand="0" w:val="0020"/>
      </w:tblPr>
      <w:tblGrid>
        <w:gridCol w:w="1890"/>
        <w:gridCol w:w="2160"/>
        <w:gridCol w:w="1890"/>
        <w:gridCol w:w="1980"/>
      </w:tblGrid>
      <w:tr>
        <w:trPr>
          <w:tblHeader w:val="on"/>
        </w:trPr>
        <w:tc>
          <w:tcPr/>
          <w:p>
            <w:pPr>
              <w:pStyle w:val="Compact"/>
              <w:jc w:val="left"/>
            </w:pPr>
            <w:r>
              <w:t xml:space="preserve">Environmental Metric</w:t>
            </w:r>
          </w:p>
        </w:tc>
        <w:tc>
          <w:tcPr/>
          <w:p>
            <w:pPr>
              <w:pStyle w:val="Compact"/>
              <w:jc w:val="left"/>
            </w:pPr>
            <w:r>
              <w:t xml:space="preserve">Food System Contribution</w:t>
            </w:r>
          </w:p>
        </w:tc>
        <w:tc>
          <w:tcPr/>
          <w:p>
            <w:pPr>
              <w:pStyle w:val="Compact"/>
              <w:jc w:val="left"/>
            </w:pPr>
            <w:r>
              <w:t xml:space="preserve">Highest Impact Foods</w:t>
            </w:r>
          </w:p>
        </w:tc>
        <w:tc>
          <w:tcPr/>
          <w:p>
            <w:pPr>
              <w:pStyle w:val="Compact"/>
              <w:jc w:val="left"/>
            </w:pPr>
            <w:r>
              <w:t xml:space="preserve">Mitigation Strategies</w:t>
            </w:r>
          </w:p>
        </w:tc>
      </w:tr>
      <w:tr>
        <w:tc>
          <w:tcPr/>
          <w:p>
            <w:pPr>
              <w:pStyle w:val="Compact"/>
              <w:jc w:val="left"/>
            </w:pPr>
            <w:r>
              <w:rPr>
                <w:b/>
                <w:bCs/>
              </w:rPr>
              <w:t xml:space="preserve">Greenhouse gas emissions</w:t>
            </w:r>
          </w:p>
        </w:tc>
        <w:tc>
          <w:tcPr/>
          <w:p>
            <w:pPr>
              <w:pStyle w:val="Compact"/>
              <w:jc w:val="left"/>
            </w:pPr>
            <w:r>
              <w:t xml:space="preserve">26–34% of total</w:t>
            </w:r>
          </w:p>
        </w:tc>
        <w:tc>
          <w:tcPr/>
          <w:p>
            <w:pPr>
              <w:pStyle w:val="Compact"/>
              <w:jc w:val="left"/>
            </w:pPr>
            <w:r>
              <w:t xml:space="preserve">Ruminant meat (beef, lamb); dairy</w:t>
            </w:r>
          </w:p>
        </w:tc>
        <w:tc>
          <w:tcPr/>
          <w:p>
            <w:pPr>
              <w:pStyle w:val="Compact"/>
              <w:jc w:val="left"/>
            </w:pPr>
            <w:r>
              <w:t xml:space="preserve">Reduce ruminant meat; shift to poultry, fish, plant proteins</w:t>
            </w:r>
          </w:p>
        </w:tc>
      </w:tr>
      <w:tr>
        <w:tc>
          <w:tcPr/>
          <w:p>
            <w:pPr>
              <w:pStyle w:val="Compact"/>
              <w:jc w:val="left"/>
            </w:pPr>
            <w:r>
              <w:rPr>
                <w:b/>
                <w:bCs/>
              </w:rPr>
              <w:t xml:space="preserve">Land use</w:t>
            </w:r>
          </w:p>
        </w:tc>
        <w:tc>
          <w:tcPr/>
          <w:p>
            <w:pPr>
              <w:pStyle w:val="Compact"/>
              <w:jc w:val="left"/>
            </w:pPr>
            <w:r>
              <w:t xml:space="preserve">38% of ice-free land</w:t>
            </w:r>
          </w:p>
        </w:tc>
        <w:tc>
          <w:tcPr/>
          <w:p>
            <w:pPr>
              <w:pStyle w:val="Compact"/>
              <w:jc w:val="left"/>
            </w:pPr>
            <w:r>
              <w:t xml:space="preserve">Beef production; feed crops</w:t>
            </w:r>
          </w:p>
        </w:tc>
        <w:tc>
          <w:tcPr/>
          <w:p>
            <w:pPr>
              <w:pStyle w:val="Compact"/>
              <w:jc w:val="left"/>
            </w:pPr>
            <w:r>
              <w:t xml:space="preserve">Reduce meat overall; restore degraded land</w:t>
            </w:r>
          </w:p>
        </w:tc>
      </w:tr>
      <w:tr>
        <w:tc>
          <w:tcPr/>
          <w:p>
            <w:pPr>
              <w:pStyle w:val="Compact"/>
              <w:jc w:val="left"/>
            </w:pPr>
            <w:r>
              <w:rPr>
                <w:b/>
                <w:bCs/>
              </w:rPr>
              <w:t xml:space="preserve">Freshwater use</w:t>
            </w:r>
          </w:p>
        </w:tc>
        <w:tc>
          <w:tcPr/>
          <w:p>
            <w:pPr>
              <w:pStyle w:val="Compact"/>
              <w:jc w:val="left"/>
            </w:pPr>
            <w:r>
              <w:t xml:space="preserve">70% of withdrawals</w:t>
            </w:r>
          </w:p>
        </w:tc>
        <w:tc>
          <w:tcPr/>
          <w:p>
            <w:pPr>
              <w:pStyle w:val="Compact"/>
              <w:jc w:val="left"/>
            </w:pPr>
            <w:r>
              <w:t xml:space="preserve">Beef; nuts (almonds); dairy</w:t>
            </w:r>
          </w:p>
        </w:tc>
        <w:tc>
          <w:tcPr/>
          <w:p>
            <w:pPr>
              <w:pStyle w:val="Compact"/>
              <w:jc w:val="left"/>
            </w:pPr>
            <w:r>
              <w:t xml:space="preserve">Shift to less water-intensive foods; improve irrigation efficiency</w:t>
            </w:r>
          </w:p>
        </w:tc>
      </w:tr>
      <w:tr>
        <w:tc>
          <w:tcPr/>
          <w:p>
            <w:pPr>
              <w:pStyle w:val="Compact"/>
              <w:jc w:val="left"/>
            </w:pPr>
            <w:r>
              <w:rPr>
                <w:b/>
                <w:bCs/>
              </w:rPr>
              <w:t xml:space="preserve">Biodiversity loss</w:t>
            </w:r>
          </w:p>
        </w:tc>
        <w:tc>
          <w:tcPr/>
          <w:p>
            <w:pPr>
              <w:pStyle w:val="Compact"/>
              <w:jc w:val="left"/>
            </w:pPr>
            <w:r>
              <w:t xml:space="preserve">Leading driver</w:t>
            </w:r>
          </w:p>
        </w:tc>
        <w:tc>
          <w:tcPr/>
          <w:p>
            <w:pPr>
              <w:pStyle w:val="Compact"/>
              <w:jc w:val="left"/>
            </w:pPr>
            <w:r>
              <w:t xml:space="preserve">Agricultural expansion; overfishing</w:t>
            </w:r>
          </w:p>
        </w:tc>
        <w:tc>
          <w:tcPr/>
          <w:p>
            <w:pPr>
              <w:pStyle w:val="Compact"/>
              <w:jc w:val="left"/>
            </w:pPr>
            <w:r>
              <w:t xml:space="preserve">Reduce land conversion; sustainable fishing; agroecology</w:t>
            </w:r>
          </w:p>
        </w:tc>
      </w:tr>
      <w:tr>
        <w:tc>
          <w:tcPr/>
          <w:p>
            <w:pPr>
              <w:pStyle w:val="Compact"/>
              <w:jc w:val="left"/>
            </w:pPr>
            <w:r>
              <w:rPr>
                <w:b/>
                <w:bCs/>
              </w:rPr>
              <w:t xml:space="preserve">Nitrogen/phosphorus pollution</w:t>
            </w:r>
          </w:p>
        </w:tc>
        <w:tc>
          <w:tcPr/>
          <w:p>
            <w:pPr>
              <w:pStyle w:val="Compact"/>
              <w:jc w:val="left"/>
            </w:pPr>
            <w:r>
              <w:t xml:space="preserve">Major contributor</w:t>
            </w:r>
          </w:p>
        </w:tc>
        <w:tc>
          <w:tcPr/>
          <w:p>
            <w:pPr>
              <w:pStyle w:val="Compact"/>
              <w:jc w:val="left"/>
            </w:pPr>
            <w:r>
              <w:t xml:space="preserve">Fertilizer use in feed production</w:t>
            </w:r>
          </w:p>
        </w:tc>
        <w:tc>
          <w:tcPr/>
          <w:p>
            <w:pPr>
              <w:pStyle w:val="Compact"/>
              <w:jc w:val="left"/>
            </w:pPr>
            <w:r>
              <w:t xml:space="preserve">Precision agriculture; reduce animal agriculture; circular systems</w:t>
            </w:r>
          </w:p>
        </w:tc>
      </w:tr>
    </w:tbl>
    <w:p>
      <w:pPr>
        <w:pStyle w:val="a0"/>
      </w:pPr>
      <w:r>
        <w:rPr>
          <w:b/>
          <w:bCs/>
        </w:rPr>
        <w:t xml:space="preserve">Plant-forward diets—emphasizing plant foods while not necessarily eliminating animal foods—offer the greatest potential for environmental impact reduction</w:t>
      </w:r>
      <w:r>
        <w:t xml:space="preserve"> </w:t>
      </w:r>
      <w:r>
        <w:t xml:space="preserve">while maintaining nutritional adequacy.</w:t>
      </w:r>
      <w:r>
        <w:t xml:space="preserve"> </w:t>
      </w:r>
      <w:r>
        <w:rPr>
          <w:b/>
          <w:bCs/>
        </w:rPr>
        <w:t xml:space="preserve">Modest meat reduction (to 50–100 g/week) with emphasis on plant proteins achieves most environmental benefit</w:t>
      </w:r>
      <w:r>
        <w:t xml:space="preserve"> </w:t>
      </w:r>
      <w:r>
        <w:t xml:space="preserve">with minimal nutritional risk if well-planned.</w:t>
      </w:r>
    </w:p>
    <w:bookmarkEnd w:id="189"/>
    <w:bookmarkStart w:id="190" w:name="Xd003f088175fd2183c286aa9faaca55488a739f"/>
    <w:p>
      <w:pPr>
        <w:pStyle w:val="4"/>
      </w:pPr>
      <w:r>
        <w:t xml:space="preserve">8.2.3 Balancing Nutritional Adequacy with Ecological Constraints</w:t>
      </w:r>
    </w:p>
    <w:p>
      <w:pPr>
        <w:pStyle w:val="FirstParagraph"/>
      </w:pPr>
      <w:r>
        <w:rPr>
          <w:b/>
          <w:bCs/>
        </w:rPr>
        <w:t xml:space="preserve">Tensions between nutrition and sustainability require nuanced approaches</w:t>
      </w:r>
      <w:r>
        <w:t xml:space="preserve">:</w:t>
      </w:r>
    </w:p>
    <w:tbl>
      <w:tblPr>
        <w:tblStyle w:val="Table"/>
        <w:tblW w:type="pct" w:w="5000"/>
        <w:jc w:val="left"/>
        <w:tblLayout w:type="fixed"/>
        <w:tblLook w:firstRow="1" w:lastRow="0" w:firstColumn="0" w:lastColumn="0" w:noHBand="0" w:noVBand="0" w:val="0020"/>
      </w:tblPr>
      <w:tblGrid>
        <w:gridCol w:w="2346"/>
        <w:gridCol w:w="5573"/>
      </w:tblGrid>
      <w:tr>
        <w:trPr>
          <w:tblHeader w:val="on"/>
        </w:trPr>
        <w:tc>
          <w:tcPr/>
          <w:p>
            <w:pPr>
              <w:pStyle w:val="Compact"/>
              <w:jc w:val="left"/>
            </w:pPr>
            <w:r>
              <w:t xml:space="preserve">Tension</w:t>
            </w:r>
          </w:p>
        </w:tc>
        <w:tc>
          <w:tcPr/>
          <w:p>
            <w:pPr>
              <w:pStyle w:val="Compact"/>
              <w:jc w:val="left"/>
            </w:pPr>
            <w:r>
              <w:t xml:space="preserve">Resolution Approach</w:t>
            </w:r>
          </w:p>
        </w:tc>
      </w:tr>
      <w:tr>
        <w:tc>
          <w:tcPr/>
          <w:p>
            <w:pPr>
              <w:pStyle w:val="Compact"/>
              <w:jc w:val="left"/>
            </w:pPr>
            <w:r>
              <w:rPr>
                <w:b/>
                <w:bCs/>
              </w:rPr>
              <w:t xml:space="preserve">B12 only reliable in animal foods</w:t>
            </w:r>
          </w:p>
        </w:tc>
        <w:tc>
          <w:tcPr/>
          <w:p>
            <w:pPr>
              <w:pStyle w:val="Compact"/>
              <w:jc w:val="left"/>
            </w:pPr>
            <w:r>
              <w:t xml:space="preserve">Fortification and supplementation for plant-based diets; acceptable given low environmental cost</w:t>
            </w:r>
          </w:p>
        </w:tc>
      </w:tr>
      <w:tr>
        <w:tc>
          <w:tcPr/>
          <w:p>
            <w:pPr>
              <w:pStyle w:val="Compact"/>
              <w:jc w:val="left"/>
            </w:pPr>
            <w:r>
              <w:rPr>
                <w:b/>
                <w:bCs/>
              </w:rPr>
              <w:t xml:space="preserve">Iron and zinc bioavailability from plants</w:t>
            </w:r>
          </w:p>
        </w:tc>
        <w:tc>
          <w:tcPr/>
          <w:p>
            <w:pPr>
              <w:pStyle w:val="Compact"/>
              <w:jc w:val="left"/>
            </w:pPr>
            <w:r>
              <w:t xml:space="preserve">Processing techniques; varied diet; moderate animal food inclusion if acceptable</w:t>
            </w:r>
          </w:p>
        </w:tc>
      </w:tr>
      <w:tr>
        <w:tc>
          <w:tcPr/>
          <w:p>
            <w:pPr>
              <w:pStyle w:val="Compact"/>
              <w:jc w:val="left"/>
            </w:pPr>
            <w:r>
              <w:rPr>
                <w:b/>
                <w:bCs/>
              </w:rPr>
              <w:t xml:space="preserve">Calcium without dairy</w:t>
            </w:r>
          </w:p>
        </w:tc>
        <w:tc>
          <w:tcPr/>
          <w:p>
            <w:pPr>
              <w:pStyle w:val="Compact"/>
              <w:jc w:val="left"/>
            </w:pPr>
            <w:r>
              <w:t xml:space="preserve">Fortified alternatives; calcium-set tofu; low-oxalate greens; supplements if needed</w:t>
            </w:r>
          </w:p>
        </w:tc>
      </w:tr>
      <w:tr>
        <w:tc>
          <w:tcPr/>
          <w:p>
            <w:pPr>
              <w:pStyle w:val="Compact"/>
              <w:jc w:val="left"/>
            </w:pPr>
            <w:r>
              <w:rPr>
                <w:b/>
                <w:bCs/>
              </w:rPr>
              <w:t xml:space="preserve">Omega-3 (EPA/DHA) from marine sources</w:t>
            </w:r>
          </w:p>
        </w:tc>
        <w:tc>
          <w:tcPr/>
          <w:p>
            <w:pPr>
              <w:pStyle w:val="Compact"/>
              <w:jc w:val="left"/>
            </w:pPr>
            <w:r>
              <w:t xml:space="preserve">Algae-derived supplements; sustainable aquaculture; reduced but not eliminated fish</w:t>
            </w:r>
          </w:p>
        </w:tc>
      </w:tr>
      <w:tr>
        <w:tc>
          <w:tcPr/>
          <w:p>
            <w:pPr>
              <w:pStyle w:val="Compact"/>
              <w:jc w:val="left"/>
            </w:pPr>
            <w:r>
              <w:rPr>
                <w:b/>
                <w:bCs/>
              </w:rPr>
              <w:t xml:space="preserve">Protein quality and quantity</w:t>
            </w:r>
          </w:p>
        </w:tc>
        <w:tc>
          <w:tcPr/>
          <w:p>
            <w:pPr>
              <w:pStyle w:val="Compact"/>
              <w:jc w:val="left"/>
            </w:pPr>
            <w:r>
              <w:t xml:space="preserve">Diversified plant proteins; strategic combining; moderate animal protein if chosen</w:t>
            </w:r>
          </w:p>
        </w:tc>
      </w:tr>
      <w:tr>
        <w:tc>
          <w:tcPr/>
          <w:p>
            <w:pPr>
              <w:pStyle w:val="Compact"/>
              <w:jc w:val="left"/>
            </w:pPr>
            <w:r>
              <w:rPr>
                <w:b/>
                <w:bCs/>
              </w:rPr>
              <w:t xml:space="preserve">Global equity and access</w:t>
            </w:r>
          </w:p>
        </w:tc>
        <w:tc>
          <w:tcPr/>
          <w:p>
            <w:pPr>
              <w:pStyle w:val="Compact"/>
              <w:jc w:val="left"/>
            </w:pPr>
            <w:r>
              <w:t xml:space="preserve">Technology transfer; reduced food waste; improved distribution; economic development</w:t>
            </w:r>
          </w:p>
        </w:tc>
      </w:tr>
    </w:tbl>
    <w:p>
      <w:pPr>
        <w:pStyle w:val="a0"/>
      </w:pPr>
      <w:r>
        <w:rPr>
          <w:b/>
          <w:bCs/>
        </w:rPr>
        <w:t xml:space="preserve">The</w:t>
      </w:r>
      <w:r>
        <w:rPr>
          <w:b/>
          <w:bCs/>
        </w:rPr>
        <w:t xml:space="preserve"> </w:t>
      </w:r>
      <w:r>
        <w:rPr>
          <w:b/>
          <w:bCs/>
        </w:rPr>
        <w:t xml:space="preserve">“</w:t>
      </w:r>
      <w:r>
        <w:rPr>
          <w:b/>
          <w:bCs/>
        </w:rPr>
        <w:t xml:space="preserve">sustainable healthy diet</w:t>
      </w:r>
      <w:r>
        <w:rPr>
          <w:b/>
          <w:bCs/>
        </w:rPr>
        <w:t xml:space="preserve">”</w:t>
      </w:r>
      <w:r>
        <w:rPr>
          <w:b/>
          <w:bCs/>
        </w:rPr>
        <w:t xml:space="preserve"> </w:t>
      </w:r>
      <w:r>
        <w:rPr>
          <w:b/>
          <w:bCs/>
        </w:rPr>
        <w:t xml:space="preserve">concept</w:t>
      </w:r>
      <w:r>
        <w:t xml:space="preserve"> </w:t>
      </w:r>
      <w:r>
        <w:t xml:space="preserve">integrates</w:t>
      </w:r>
      <w:r>
        <w:t xml:space="preserve"> </w:t>
      </w:r>
      <w:r>
        <w:rPr>
          <w:b/>
          <w:bCs/>
        </w:rPr>
        <w:t xml:space="preserve">nutritional adequacy, cultural acceptability, affordability, and environmental sustainability</w:t>
      </w:r>
      <w:r>
        <w:t xml:space="preserve">—recognizing that</w:t>
      </w:r>
      <w:r>
        <w:t xml:space="preserve"> </w:t>
      </w:r>
      <w:r>
        <w:rPr>
          <w:b/>
          <w:bCs/>
        </w:rPr>
        <w:t xml:space="preserve">no single dietary pattern optimizes all dimensions globally</w:t>
      </w:r>
      <w:r>
        <w:t xml:space="preserve">.</w:t>
      </w:r>
    </w:p>
    <w:bookmarkEnd w:id="190"/>
    <w:bookmarkEnd w:id="191"/>
    <w:bookmarkStart w:id="195" w:name="novel-dietary-components-and-bioactives"/>
    <w:p>
      <w:pPr>
        <w:pStyle w:val="3"/>
      </w:pPr>
      <w:r>
        <w:t xml:space="preserve">8.3 Novel Dietary Components and Bioactives</w:t>
      </w:r>
    </w:p>
    <w:bookmarkStart w:id="192" w:name="X177c8df23013bcda30d51d0dcfcf651944724ea"/>
    <w:p>
      <w:pPr>
        <w:pStyle w:val="4"/>
      </w:pPr>
      <w:r>
        <w:t xml:space="preserve">8.3.1 Polyphenols, Phytosterols, and Prebiotic Fibers</w:t>
      </w:r>
    </w:p>
    <w:p>
      <w:pPr>
        <w:pStyle w:val="FirstParagraph"/>
      </w:pPr>
      <w:r>
        <w:rPr>
          <w:b/>
          <w:bCs/>
        </w:rPr>
        <w:t xml:space="preserve">Emerging research highlights bioactive compounds with potential health benefits</w:t>
      </w:r>
      <w:r>
        <w:t xml:space="preserve">:</w:t>
      </w:r>
    </w:p>
    <w:tbl>
      <w:tblPr>
        <w:tblStyle w:val="Table"/>
        <w:tblW w:type="pct" w:w="5000"/>
        <w:jc w:val="left"/>
        <w:tblLayout w:type="fixed"/>
        <w:tblLook w:firstRow="1" w:lastRow="0" w:firstColumn="0" w:lastColumn="0" w:noHBand="0" w:noVBand="0" w:val="0020"/>
      </w:tblPr>
      <w:tblGrid>
        <w:gridCol w:w="2262"/>
        <w:gridCol w:w="1454"/>
        <w:gridCol w:w="1777"/>
        <w:gridCol w:w="2424"/>
      </w:tblGrid>
      <w:tr>
        <w:trPr>
          <w:tblHeader w:val="on"/>
        </w:trPr>
        <w:tc>
          <w:tcPr/>
          <w:p>
            <w:pPr>
              <w:pStyle w:val="Compact"/>
              <w:jc w:val="left"/>
            </w:pPr>
            <w:r>
              <w:t xml:space="preserve">Compound Class</w:t>
            </w:r>
          </w:p>
        </w:tc>
        <w:tc>
          <w:tcPr/>
          <w:p>
            <w:pPr>
              <w:pStyle w:val="Compact"/>
              <w:jc w:val="left"/>
            </w:pPr>
            <w:r>
              <w:t xml:space="preserve">Sources</w:t>
            </w:r>
          </w:p>
        </w:tc>
        <w:tc>
          <w:tcPr/>
          <w:p>
            <w:pPr>
              <w:pStyle w:val="Compact"/>
              <w:jc w:val="left"/>
            </w:pPr>
            <w:r>
              <w:t xml:space="preserve">Mechanisms</w:t>
            </w:r>
          </w:p>
        </w:tc>
        <w:tc>
          <w:tcPr/>
          <w:p>
            <w:pPr>
              <w:pStyle w:val="Compact"/>
              <w:jc w:val="left"/>
            </w:pPr>
            <w:r>
              <w:t xml:space="preserve">Evidence Status</w:t>
            </w:r>
          </w:p>
        </w:tc>
      </w:tr>
      <w:tr>
        <w:tc>
          <w:tcPr/>
          <w:p>
            <w:pPr>
              <w:pStyle w:val="Compact"/>
              <w:jc w:val="left"/>
            </w:pPr>
            <w:r>
              <w:rPr>
                <w:b/>
                <w:bCs/>
              </w:rPr>
              <w:t xml:space="preserve">Polyphenols</w:t>
            </w:r>
            <w:r>
              <w:t xml:space="preserve"> </w:t>
            </w:r>
            <w:r>
              <w:t xml:space="preserve">(flavonoids, phenolic acids, stilbenes, lignans)</w:t>
            </w:r>
          </w:p>
        </w:tc>
        <w:tc>
          <w:tcPr/>
          <w:p>
            <w:pPr>
              <w:pStyle w:val="Compact"/>
              <w:jc w:val="left"/>
            </w:pPr>
            <w:r>
              <w:t xml:space="preserve">Fruits, vegetables, tea, coffee, cocoa, wine, whole grains</w:t>
            </w:r>
          </w:p>
        </w:tc>
        <w:tc>
          <w:tcPr/>
          <w:p>
            <w:pPr>
              <w:pStyle w:val="Compact"/>
              <w:jc w:val="left"/>
            </w:pPr>
            <w:r>
              <w:t xml:space="preserve">Antioxidant; anti-inflammatory; gut microbiome modulation; epigenetic effects</w:t>
            </w:r>
          </w:p>
        </w:tc>
        <w:tc>
          <w:tcPr/>
          <w:p>
            <w:pPr>
              <w:pStyle w:val="Compact"/>
              <w:jc w:val="left"/>
            </w:pPr>
            <w:r>
              <w:t xml:space="preserve">Strong observational; mixed trial results; bioavailability challenges</w:t>
            </w:r>
          </w:p>
        </w:tc>
      </w:tr>
      <w:tr>
        <w:tc>
          <w:tcPr/>
          <w:p>
            <w:pPr>
              <w:pStyle w:val="Compact"/>
              <w:jc w:val="left"/>
            </w:pPr>
            <w:r>
              <w:rPr>
                <w:b/>
                <w:bCs/>
              </w:rPr>
              <w:t xml:space="preserve">Phytosterols</w:t>
            </w:r>
            <w:r>
              <w:t xml:space="preserve"> </w:t>
            </w:r>
            <w:r>
              <w:t xml:space="preserve">(plant sterols and stanols)</w:t>
            </w:r>
          </w:p>
        </w:tc>
        <w:tc>
          <w:tcPr/>
          <w:p>
            <w:pPr>
              <w:pStyle w:val="Compact"/>
              <w:jc w:val="left"/>
            </w:pPr>
            <w:r>
              <w:t xml:space="preserve">Nuts, seeds, vegetable oils, fortified foods</w:t>
            </w:r>
          </w:p>
        </w:tc>
        <w:tc>
          <w:tcPr/>
          <w:p>
            <w:pPr>
              <w:pStyle w:val="Compact"/>
              <w:jc w:val="left"/>
            </w:pPr>
            <w:r>
              <w:t xml:space="preserve">Cholesterol absorption inhibition; 7–10% LDL reduction at 2 g/day</w:t>
            </w:r>
          </w:p>
        </w:tc>
        <w:tc>
          <w:tcPr/>
          <w:p>
            <w:pPr>
              <w:pStyle w:val="Compact"/>
              <w:jc w:val="left"/>
            </w:pPr>
            <w:r>
              <w:t xml:space="preserve">FDA-approved health claim; effective for hypercholesterolemia</w:t>
            </w:r>
          </w:p>
        </w:tc>
      </w:tr>
      <w:tr>
        <w:tc>
          <w:tcPr/>
          <w:p>
            <w:pPr>
              <w:pStyle w:val="Compact"/>
              <w:jc w:val="left"/>
            </w:pPr>
            <w:r>
              <w:rPr>
                <w:b/>
                <w:bCs/>
              </w:rPr>
              <w:t xml:space="preserve">Prebiotic fibers</w:t>
            </w:r>
            <w:r>
              <w:t xml:space="preserve"> </w:t>
            </w:r>
            <w:r>
              <w:t xml:space="preserve">(inulin, FOS, GOS, resistant starch, HMOs)</w:t>
            </w:r>
          </w:p>
        </w:tc>
        <w:tc>
          <w:tcPr/>
          <w:p>
            <w:pPr>
              <w:pStyle w:val="Compact"/>
              <w:jc w:val="left"/>
            </w:pPr>
            <w:r>
              <w:t xml:space="preserve">Chicory, Jerusalem artichoke, onions, garlic, legumes, whole grains, human milk</w:t>
            </w:r>
          </w:p>
        </w:tc>
        <w:tc>
          <w:tcPr/>
          <w:p>
            <w:pPr>
              <w:pStyle w:val="Compact"/>
              <w:jc w:val="left"/>
            </w:pPr>
            <w:r>
              <w:t xml:space="preserve">Selective fermentation by beneficial bacteria; SCFA production; immune modulation</w:t>
            </w:r>
          </w:p>
        </w:tc>
        <w:tc>
          <w:tcPr/>
          <w:p>
            <w:pPr>
              <w:pStyle w:val="Compact"/>
              <w:jc w:val="left"/>
            </w:pPr>
            <w:r>
              <w:t xml:space="preserve">Established for gut health; emerging for metabolic and immune effects</w:t>
            </w:r>
          </w:p>
        </w:tc>
      </w:tr>
      <w:tr>
        <w:tc>
          <w:tcPr/>
          <w:p>
            <w:pPr>
              <w:pStyle w:val="Compact"/>
              <w:jc w:val="left"/>
            </w:pPr>
            <w:r>
              <w:rPr>
                <w:b/>
                <w:bCs/>
              </w:rPr>
              <w:t xml:space="preserve">Postbiotics</w:t>
            </w:r>
            <w:r>
              <w:t xml:space="preserve"> </w:t>
            </w:r>
            <w:r>
              <w:t xml:space="preserve">(microbial metabolites and components)</w:t>
            </w:r>
          </w:p>
        </w:tc>
        <w:tc>
          <w:tcPr/>
          <w:p>
            <w:pPr>
              <w:pStyle w:val="Compact"/>
              <w:jc w:val="left"/>
            </w:pPr>
            <w:r>
              <w:t xml:space="preserve">Fermented foods; produced in gut from prebiotics</w:t>
            </w:r>
          </w:p>
        </w:tc>
        <w:tc>
          <w:tcPr/>
          <w:p>
            <w:pPr>
              <w:pStyle w:val="Compact"/>
              <w:jc w:val="left"/>
            </w:pPr>
            <w:r>
              <w:t xml:space="preserve">SCFAs; bacteriocins; neurotransmitters; cell wall components</w:t>
            </w:r>
          </w:p>
        </w:tc>
        <w:tc>
          <w:tcPr/>
          <w:p>
            <w:pPr>
              <w:pStyle w:val="Compact"/>
              <w:jc w:val="left"/>
            </w:pPr>
            <w:r>
              <w:t xml:space="preserve">Rapidly emerging field; potential for targeted interventions</w:t>
            </w:r>
          </w:p>
        </w:tc>
      </w:tr>
    </w:tbl>
    <w:bookmarkEnd w:id="192"/>
    <w:bookmarkStart w:id="193" w:name="fermented-foods-and-postbiotics"/>
    <w:p>
      <w:pPr>
        <w:pStyle w:val="4"/>
      </w:pPr>
      <w:r>
        <w:t xml:space="preserve">8.3.2 Fermented Foods and Postbiotics</w:t>
      </w:r>
    </w:p>
    <w:p>
      <w:pPr>
        <w:pStyle w:val="FirstParagraph"/>
      </w:pPr>
      <w:r>
        <w:rPr>
          <w:b/>
          <w:bCs/>
        </w:rPr>
        <w:t xml:space="preserve">Fermented foods are experiencing resurgence based on microbiome science</w:t>
      </w:r>
      <w:r>
        <w:t xml:space="preserve">:</w:t>
      </w:r>
    </w:p>
    <w:tbl>
      <w:tblPr>
        <w:tblStyle w:val="Table"/>
        <w:tblW w:type="pct" w:w="5000"/>
        <w:jc w:val="left"/>
        <w:tblLayout w:type="fixed"/>
        <w:tblLook w:firstRow="1" w:lastRow="0" w:firstColumn="0" w:lastColumn="0" w:noHBand="0" w:noVBand="0" w:val="0020"/>
      </w:tblPr>
      <w:tblGrid>
        <w:gridCol w:w="1458"/>
        <w:gridCol w:w="2292"/>
        <w:gridCol w:w="1980"/>
        <w:gridCol w:w="2188"/>
      </w:tblGrid>
      <w:tr>
        <w:trPr>
          <w:tblHeader w:val="on"/>
        </w:trPr>
        <w:tc>
          <w:tcPr/>
          <w:p>
            <w:pPr>
              <w:pStyle w:val="Compact"/>
              <w:jc w:val="left"/>
            </w:pPr>
            <w:r>
              <w:t xml:space="preserve">Fermented Food</w:t>
            </w:r>
          </w:p>
        </w:tc>
        <w:tc>
          <w:tcPr/>
          <w:p>
            <w:pPr>
              <w:pStyle w:val="Compact"/>
              <w:jc w:val="left"/>
            </w:pPr>
            <w:r>
              <w:t xml:space="preserve">Active Microorganisms</w:t>
            </w:r>
          </w:p>
        </w:tc>
        <w:tc>
          <w:tcPr/>
          <w:p>
            <w:pPr>
              <w:pStyle w:val="Compact"/>
              <w:jc w:val="left"/>
            </w:pPr>
            <w:r>
              <w:t xml:space="preserve">Potential Benefits</w:t>
            </w:r>
          </w:p>
        </w:tc>
        <w:tc>
          <w:tcPr/>
          <w:p>
            <w:pPr>
              <w:pStyle w:val="Compact"/>
              <w:jc w:val="left"/>
            </w:pPr>
            <w:r>
              <w:t xml:space="preserve">Consumption Guidance</w:t>
            </w:r>
          </w:p>
        </w:tc>
      </w:tr>
      <w:tr>
        <w:tc>
          <w:tcPr/>
          <w:p>
            <w:pPr>
              <w:pStyle w:val="Compact"/>
              <w:jc w:val="left"/>
            </w:pPr>
            <w:r>
              <w:rPr>
                <w:b/>
                <w:bCs/>
              </w:rPr>
              <w:t xml:space="preserve">Yogurt, kefir</w:t>
            </w:r>
          </w:p>
        </w:tc>
        <w:tc>
          <w:tcPr/>
          <w:p>
            <w:pPr>
              <w:pStyle w:val="Compact"/>
              <w:jc w:val="left"/>
            </w:pPr>
            <w:r>
              <w:t xml:space="preserve">Lactobacillus, Bifidobacterium, yeasts</w:t>
            </w:r>
          </w:p>
        </w:tc>
        <w:tc>
          <w:tcPr/>
          <w:p>
            <w:pPr>
              <w:pStyle w:val="Compact"/>
              <w:jc w:val="left"/>
            </w:pPr>
            <w:r>
              <w:t xml:space="preserve">Probiotic; calcium; protein; improved lactose digestion</w:t>
            </w:r>
          </w:p>
        </w:tc>
        <w:tc>
          <w:tcPr/>
          <w:p>
            <w:pPr>
              <w:pStyle w:val="Compact"/>
              <w:jc w:val="left"/>
            </w:pPr>
            <w:r>
              <w:t xml:space="preserve">Daily; choose unsweetened, live cultures</w:t>
            </w:r>
          </w:p>
        </w:tc>
      </w:tr>
      <w:tr>
        <w:tc>
          <w:tcPr/>
          <w:p>
            <w:pPr>
              <w:pStyle w:val="Compact"/>
              <w:jc w:val="left"/>
            </w:pPr>
            <w:r>
              <w:rPr>
                <w:b/>
                <w:bCs/>
              </w:rPr>
              <w:t xml:space="preserve">Sauerkraut, kimchi</w:t>
            </w:r>
          </w:p>
        </w:tc>
        <w:tc>
          <w:tcPr/>
          <w:p>
            <w:pPr>
              <w:pStyle w:val="Compact"/>
              <w:jc w:val="left"/>
            </w:pPr>
            <w:r>
              <w:t xml:space="preserve">Lactobacillus species</w:t>
            </w:r>
          </w:p>
        </w:tc>
        <w:tc>
          <w:tcPr/>
          <w:p>
            <w:pPr>
              <w:pStyle w:val="Compact"/>
              <w:jc w:val="left"/>
            </w:pPr>
            <w:r>
              <w:t xml:space="preserve">Probiotic; fiber; vitamin C; glucosinolates (kimchi)</w:t>
            </w:r>
          </w:p>
        </w:tc>
        <w:tc>
          <w:tcPr/>
          <w:p>
            <w:pPr>
              <w:pStyle w:val="Compact"/>
              <w:jc w:val="left"/>
            </w:pPr>
            <w:r>
              <w:t xml:space="preserve">Regular inclusion; watch sodium in some products</w:t>
            </w:r>
          </w:p>
        </w:tc>
      </w:tr>
      <w:tr>
        <w:tc>
          <w:tcPr/>
          <w:p>
            <w:pPr>
              <w:pStyle w:val="Compact"/>
              <w:jc w:val="left"/>
            </w:pPr>
            <w:r>
              <w:rPr>
                <w:b/>
                <w:bCs/>
              </w:rPr>
              <w:t xml:space="preserve">Tempeh, miso</w:t>
            </w:r>
          </w:p>
        </w:tc>
        <w:tc>
          <w:tcPr/>
          <w:p>
            <w:pPr>
              <w:pStyle w:val="Compact"/>
              <w:jc w:val="left"/>
            </w:pPr>
            <w:r>
              <w:t xml:space="preserve">Rhizopus, Aspergillus, bacteria</w:t>
            </w:r>
          </w:p>
        </w:tc>
        <w:tc>
          <w:tcPr/>
          <w:p>
            <w:pPr>
              <w:pStyle w:val="Compact"/>
              <w:jc w:val="left"/>
            </w:pPr>
            <w:r>
              <w:t xml:space="preserve">Complete protein; B12 (tempeh); isoflavones; bioactive peptides</w:t>
            </w:r>
          </w:p>
        </w:tc>
        <w:tc>
          <w:tcPr/>
          <w:p>
            <w:pPr>
              <w:pStyle w:val="Compact"/>
              <w:jc w:val="left"/>
            </w:pPr>
            <w:r>
              <w:t xml:space="preserve">Excellent meat alternative; miso as flavoring</w:t>
            </w:r>
          </w:p>
        </w:tc>
      </w:tr>
      <w:tr>
        <w:tc>
          <w:tcPr/>
          <w:p>
            <w:pPr>
              <w:pStyle w:val="Compact"/>
              <w:jc w:val="left"/>
            </w:pPr>
            <w:r>
              <w:rPr>
                <w:b/>
                <w:bCs/>
              </w:rPr>
              <w:t xml:space="preserve">Kombucha</w:t>
            </w:r>
          </w:p>
        </w:tc>
        <w:tc>
          <w:tcPr/>
          <w:p>
            <w:pPr>
              <w:pStyle w:val="Compact"/>
              <w:jc w:val="left"/>
            </w:pPr>
            <w:r>
              <w:t xml:space="preserve">Acetobacter, yeasts, various bacteria</w:t>
            </w:r>
          </w:p>
        </w:tc>
        <w:tc>
          <w:tcPr/>
          <w:p>
            <w:pPr>
              <w:pStyle w:val="Compact"/>
              <w:jc w:val="left"/>
            </w:pPr>
            <w:r>
              <w:t xml:space="preserve">Polyphenols from tea; acetic acid; speculative probiotic benefits</w:t>
            </w:r>
          </w:p>
        </w:tc>
        <w:tc>
          <w:tcPr/>
          <w:p>
            <w:pPr>
              <w:pStyle w:val="Compact"/>
              <w:jc w:val="left"/>
            </w:pPr>
            <w:r>
              <w:t xml:space="preserve">Moderate consumption; home brewing safety concerns</w:t>
            </w:r>
          </w:p>
        </w:tc>
      </w:tr>
      <w:tr>
        <w:tc>
          <w:tcPr/>
          <w:p>
            <w:pPr>
              <w:pStyle w:val="Compact"/>
              <w:jc w:val="left"/>
            </w:pPr>
            <w:r>
              <w:rPr>
                <w:b/>
                <w:bCs/>
              </w:rPr>
              <w:t xml:space="preserve">Traditional cheeses</w:t>
            </w:r>
          </w:p>
        </w:tc>
        <w:tc>
          <w:tcPr/>
          <w:p>
            <w:pPr>
              <w:pStyle w:val="Compact"/>
              <w:jc w:val="left"/>
            </w:pPr>
            <w:r>
              <w:t xml:space="preserve">Various bacteria, fungi</w:t>
            </w:r>
          </w:p>
        </w:tc>
        <w:tc>
          <w:tcPr/>
          <w:p>
            <w:pPr>
              <w:pStyle w:val="Compact"/>
              <w:jc w:val="left"/>
            </w:pPr>
            <w:r>
              <w:t xml:space="preserve">Calcium; protein; vitamin K2 (some); unique peptide profiles</w:t>
            </w:r>
          </w:p>
        </w:tc>
        <w:tc>
          <w:tcPr/>
          <w:p>
            <w:pPr>
              <w:pStyle w:val="Compact"/>
              <w:jc w:val="left"/>
            </w:pPr>
            <w:r>
              <w:t xml:space="preserve">Moderate; choose traditional over processed</w:t>
            </w:r>
          </w:p>
        </w:tc>
      </w:tr>
    </w:tbl>
    <w:p>
      <w:pPr>
        <w:pStyle w:val="a0"/>
      </w:pPr>
      <w:r>
        <w:rPr>
          <w:b/>
          <w:bCs/>
        </w:rPr>
        <w:t xml:space="preserve">The</w:t>
      </w:r>
      <w:r>
        <w:rPr>
          <w:b/>
          <w:bCs/>
        </w:rPr>
        <w:t xml:space="preserve"> </w:t>
      </w:r>
      <w:r>
        <w:rPr>
          <w:b/>
          <w:bCs/>
        </w:rPr>
        <w:t xml:space="preserve">“</w:t>
      </w:r>
      <w:r>
        <w:rPr>
          <w:b/>
          <w:bCs/>
        </w:rPr>
        <w:t xml:space="preserve">postbiotic</w:t>
      </w:r>
      <w:r>
        <w:rPr>
          <w:b/>
          <w:bCs/>
        </w:rPr>
        <w:t xml:space="preserve">”</w:t>
      </w:r>
      <w:r>
        <w:rPr>
          <w:b/>
          <w:bCs/>
        </w:rPr>
        <w:t xml:space="preserve"> </w:t>
      </w:r>
      <w:r>
        <w:rPr>
          <w:b/>
          <w:bCs/>
        </w:rPr>
        <w:t xml:space="preserve">concept</w:t>
      </w:r>
      <w:r>
        <w:t xml:space="preserve">—</w:t>
      </w:r>
      <w:r>
        <w:rPr>
          <w:b/>
          <w:bCs/>
        </w:rPr>
        <w:t xml:space="preserve">using microbial metabolites and cell components rather than live organisms</w:t>
      </w:r>
      <w:r>
        <w:t xml:space="preserve">—offers</w:t>
      </w:r>
      <w:r>
        <w:t xml:space="preserve"> </w:t>
      </w:r>
      <w:r>
        <w:rPr>
          <w:b/>
          <w:bCs/>
        </w:rPr>
        <w:t xml:space="preserve">advantages in stability, safety, and targeted delivery</w:t>
      </w:r>
      <w:r>
        <w:t xml:space="preserve">, with</w:t>
      </w:r>
      <w:r>
        <w:t xml:space="preserve"> </w:t>
      </w:r>
      <w:r>
        <w:rPr>
          <w:b/>
          <w:bCs/>
        </w:rPr>
        <w:t xml:space="preserve">rapidly expanding research</w:t>
      </w:r>
      <w:r>
        <w:t xml:space="preserve">.</w:t>
      </w:r>
    </w:p>
    <w:bookmarkEnd w:id="193"/>
    <w:bookmarkStart w:id="194" w:name="Xb313894dac26fdab5c71090ecfe47afc1a1694f"/>
    <w:p>
      <w:pPr>
        <w:pStyle w:val="4"/>
      </w:pPr>
      <w:r>
        <w:t xml:space="preserve">8.3.3 Alternative Proteins: Insects, Cultured Meat, Plant-Based Analogues</w:t>
      </w:r>
    </w:p>
    <w:p>
      <w:pPr>
        <w:pStyle w:val="FirstParagraph"/>
      </w:pPr>
      <w:r>
        <w:rPr>
          <w:b/>
          <w:bCs/>
        </w:rPr>
        <w:t xml:space="preserve">Novel protein sources aim to reduce environmental impact while meeting nutritional needs</w:t>
      </w:r>
      <w:r>
        <w:t xml:space="preserve">:</w:t>
      </w:r>
    </w:p>
    <w:tbl>
      <w:tblPr>
        <w:tblStyle w:val="Table"/>
        <w:tblW w:type="pct" w:w="5000"/>
        <w:jc w:val="left"/>
        <w:tblLayout w:type="fixed"/>
        <w:tblLook w:firstRow="1" w:lastRow="0" w:firstColumn="0" w:lastColumn="0" w:noHBand="0" w:noVBand="0" w:val="0020"/>
      </w:tblPr>
      <w:tblGrid>
        <w:gridCol w:w="1616"/>
        <w:gridCol w:w="1454"/>
        <w:gridCol w:w="1616"/>
        <w:gridCol w:w="1697"/>
        <w:gridCol w:w="1535"/>
      </w:tblGrid>
      <w:tr>
        <w:trPr>
          <w:tblHeader w:val="on"/>
        </w:trPr>
        <w:tc>
          <w:tcPr/>
          <w:p>
            <w:pPr>
              <w:pStyle w:val="Compact"/>
              <w:jc w:val="left"/>
            </w:pPr>
            <w:r>
              <w:t xml:space="preserve">Alternative Protein</w:t>
            </w:r>
          </w:p>
        </w:tc>
        <w:tc>
          <w:tcPr/>
          <w:p>
            <w:pPr>
              <w:pStyle w:val="Compact"/>
              <w:jc w:val="left"/>
            </w:pPr>
            <w:r>
              <w:t xml:space="preserve">Production Status</w:t>
            </w:r>
          </w:p>
        </w:tc>
        <w:tc>
          <w:tcPr/>
          <w:p>
            <w:pPr>
              <w:pStyle w:val="Compact"/>
              <w:jc w:val="left"/>
            </w:pPr>
            <w:r>
              <w:t xml:space="preserve">Nutritional Profile</w:t>
            </w:r>
          </w:p>
        </w:tc>
        <w:tc>
          <w:tcPr/>
          <w:p>
            <w:pPr>
              <w:pStyle w:val="Compact"/>
              <w:jc w:val="left"/>
            </w:pPr>
            <w:r>
              <w:t xml:space="preserve">Environmental Impact</w:t>
            </w:r>
          </w:p>
        </w:tc>
        <w:tc>
          <w:tcPr/>
          <w:p>
            <w:pPr>
              <w:pStyle w:val="Compact"/>
              <w:jc w:val="left"/>
            </w:pPr>
            <w:r>
              <w:t xml:space="preserve">Consumer Acceptance</w:t>
            </w:r>
          </w:p>
        </w:tc>
      </w:tr>
      <w:tr>
        <w:tc>
          <w:tcPr/>
          <w:p>
            <w:pPr>
              <w:pStyle w:val="Compact"/>
              <w:jc w:val="left"/>
            </w:pPr>
            <w:r>
              <w:rPr>
                <w:b/>
                <w:bCs/>
              </w:rPr>
              <w:t xml:space="preserve">Insects</w:t>
            </w:r>
            <w:r>
              <w:t xml:space="preserve"> </w:t>
            </w:r>
            <w:r>
              <w:t xml:space="preserve">(crickets, mealworms)</w:t>
            </w:r>
          </w:p>
        </w:tc>
        <w:tc>
          <w:tcPr/>
          <w:p>
            <w:pPr>
              <w:pStyle w:val="Compact"/>
              <w:jc w:val="left"/>
            </w:pPr>
            <w:r>
              <w:t xml:space="preserve">Commercial in some regions; regulatory barriers elsewhere</w:t>
            </w:r>
          </w:p>
        </w:tc>
        <w:tc>
          <w:tcPr/>
          <w:p>
            <w:pPr>
              <w:pStyle w:val="Compact"/>
              <w:jc w:val="left"/>
            </w:pPr>
            <w:r>
              <w:t xml:space="preserve">Complete protein; B12; iron; low environmental footprint</w:t>
            </w:r>
          </w:p>
        </w:tc>
        <w:tc>
          <w:tcPr/>
          <w:p>
            <w:pPr>
              <w:pStyle w:val="Compact"/>
              <w:jc w:val="left"/>
            </w:pPr>
            <w:r>
              <w:t xml:space="preserve">Very low land, water, GHG</w:t>
            </w:r>
          </w:p>
        </w:tc>
        <w:tc>
          <w:tcPr/>
          <w:p>
            <w:pPr>
              <w:pStyle w:val="Compact"/>
              <w:jc w:val="left"/>
            </w:pPr>
            <w:r>
              <w:t xml:space="preserve">Low in Western cultures; cultural barriers</w:t>
            </w:r>
          </w:p>
        </w:tc>
      </w:tr>
      <w:tr>
        <w:tc>
          <w:tcPr/>
          <w:p>
            <w:pPr>
              <w:pStyle w:val="Compact"/>
              <w:jc w:val="left"/>
            </w:pPr>
            <w:r>
              <w:rPr>
                <w:b/>
                <w:bCs/>
              </w:rPr>
              <w:t xml:space="preserve">Cultured/lab-grown meat</w:t>
            </w:r>
          </w:p>
        </w:tc>
        <w:tc>
          <w:tcPr/>
          <w:p>
            <w:pPr>
              <w:pStyle w:val="Compact"/>
              <w:jc w:val="left"/>
            </w:pPr>
            <w:r>
              <w:t xml:space="preserve">Early commercial; scaling challenges; cost reduction ongoing</w:t>
            </w:r>
          </w:p>
        </w:tc>
        <w:tc>
          <w:tcPr/>
          <w:p>
            <w:pPr>
              <w:pStyle w:val="Compact"/>
              <w:jc w:val="left"/>
            </w:pPr>
            <w:r>
              <w:t xml:space="preserve">Similar to conventional meat; fatty acid profile tunable</w:t>
            </w:r>
          </w:p>
        </w:tc>
        <w:tc>
          <w:tcPr/>
          <w:p>
            <w:pPr>
              <w:pStyle w:val="Compact"/>
              <w:jc w:val="left"/>
            </w:pPr>
            <w:r>
              <w:t xml:space="preserve">Potentially 80–95% lower GHG, land, water if renewable energy</w:t>
            </w:r>
          </w:p>
        </w:tc>
        <w:tc>
          <w:tcPr/>
          <w:p>
            <w:pPr>
              <w:pStyle w:val="Compact"/>
              <w:jc w:val="left"/>
            </w:pPr>
            <w:r>
              <w:t xml:space="preserve">Moderate;</w:t>
            </w:r>
            <w:r>
              <w:t xml:space="preserve"> </w:t>
            </w:r>
            <w:r>
              <w:t xml:space="preserve">“</w:t>
            </w:r>
            <w:r>
              <w:t xml:space="preserve">yuck factor</w:t>
            </w:r>
            <w:r>
              <w:t xml:space="preserve">”</w:t>
            </w:r>
            <w:r>
              <w:t xml:space="preserve"> </w:t>
            </w:r>
            <w:r>
              <w:t xml:space="preserve">for some; naming debates</w:t>
            </w:r>
          </w:p>
        </w:tc>
      </w:tr>
      <w:tr>
        <w:tc>
          <w:tcPr/>
          <w:p>
            <w:pPr>
              <w:pStyle w:val="Compact"/>
              <w:jc w:val="left"/>
            </w:pPr>
            <w:r>
              <w:rPr>
                <w:b/>
                <w:bCs/>
              </w:rPr>
              <w:t xml:space="preserve">Plant-based meat analogues</w:t>
            </w:r>
            <w:r>
              <w:t xml:space="preserve"> </w:t>
            </w:r>
            <w:r>
              <w:t xml:space="preserve">(Beyond, Impossible)</w:t>
            </w:r>
          </w:p>
        </w:tc>
        <w:tc>
          <w:tcPr/>
          <w:p>
            <w:pPr>
              <w:pStyle w:val="Compact"/>
              <w:jc w:val="left"/>
            </w:pPr>
            <w:r>
              <w:t xml:space="preserve">Widely available; rapid market growth</w:t>
            </w:r>
          </w:p>
        </w:tc>
        <w:tc>
          <w:tcPr/>
          <w:p>
            <w:pPr>
              <w:pStyle w:val="Compact"/>
              <w:jc w:val="left"/>
            </w:pPr>
            <w:r>
              <w:t xml:space="preserve">Protein comparable; added iron, B12; higher sodium; ultra-processed</w:t>
            </w:r>
          </w:p>
        </w:tc>
        <w:tc>
          <w:tcPr/>
          <w:p>
            <w:pPr>
              <w:pStyle w:val="Compact"/>
              <w:jc w:val="left"/>
            </w:pPr>
            <w:r>
              <w:t xml:space="preserve">90% lower GHG than beef; but processing energy</w:t>
            </w:r>
          </w:p>
        </w:tc>
        <w:tc>
          <w:tcPr/>
          <w:p>
            <w:pPr>
              <w:pStyle w:val="Compact"/>
              <w:jc w:val="left"/>
            </w:pPr>
            <w:r>
              <w:t xml:space="preserve">High initially; concerns about ultra-processing emerging</w:t>
            </w:r>
          </w:p>
        </w:tc>
      </w:tr>
      <w:tr>
        <w:tc>
          <w:tcPr/>
          <w:p>
            <w:pPr>
              <w:pStyle w:val="Compact"/>
              <w:jc w:val="left"/>
            </w:pPr>
            <w:r>
              <w:rPr>
                <w:b/>
                <w:bCs/>
              </w:rPr>
              <w:t xml:space="preserve">Precision fermentation</w:t>
            </w:r>
            <w:r>
              <w:t xml:space="preserve"> </w:t>
            </w:r>
            <w:r>
              <w:t xml:space="preserve">(dairy proteins without cows)</w:t>
            </w:r>
          </w:p>
        </w:tc>
        <w:tc>
          <w:tcPr/>
          <w:p>
            <w:pPr>
              <w:pStyle w:val="Compact"/>
              <w:jc w:val="left"/>
            </w:pPr>
            <w:r>
              <w:t xml:space="preserve">Emerging; whey and casein produced</w:t>
            </w:r>
          </w:p>
        </w:tc>
        <w:tc>
          <w:tcPr/>
          <w:p>
            <w:pPr>
              <w:pStyle w:val="Compact"/>
              <w:jc w:val="left"/>
            </w:pPr>
            <w:r>
              <w:t xml:space="preserve">Identical to animal proteins; lactose-free</w:t>
            </w:r>
          </w:p>
        </w:tc>
        <w:tc>
          <w:tcPr/>
          <w:p>
            <w:pPr>
              <w:pStyle w:val="Compact"/>
              <w:jc w:val="left"/>
            </w:pPr>
            <w:r>
              <w:t xml:space="preserve">Potentially very low; depends on energy source</w:t>
            </w:r>
          </w:p>
        </w:tc>
        <w:tc>
          <w:tcPr/>
          <w:p>
            <w:pPr>
              <w:pStyle w:val="Compact"/>
              <w:jc w:val="left"/>
            </w:pPr>
            <w:r>
              <w:t xml:space="preserve">High if cost-competitive; labeling considerations</w:t>
            </w:r>
          </w:p>
        </w:tc>
      </w:tr>
      <w:tr>
        <w:tc>
          <w:tcPr/>
          <w:p>
            <w:pPr>
              <w:pStyle w:val="Compact"/>
              <w:jc w:val="left"/>
            </w:pPr>
            <w:r>
              <w:rPr>
                <w:b/>
                <w:bCs/>
              </w:rPr>
              <w:t xml:space="preserve">Single-cell proteins</w:t>
            </w:r>
            <w:r>
              <w:t xml:space="preserve"> </w:t>
            </w:r>
            <w:r>
              <w:t xml:space="preserve">(algae, fungi, bacteria)</w:t>
            </w:r>
          </w:p>
        </w:tc>
        <w:tc>
          <w:tcPr/>
          <w:p>
            <w:pPr>
              <w:pStyle w:val="Compact"/>
              <w:jc w:val="left"/>
            </w:pPr>
            <w:r>
              <w:t xml:space="preserve">Quorn (mycoprotein) established; others emerging</w:t>
            </w:r>
          </w:p>
        </w:tc>
        <w:tc>
          <w:tcPr/>
          <w:p>
            <w:pPr>
              <w:pStyle w:val="Compact"/>
              <w:jc w:val="left"/>
            </w:pPr>
            <w:r>
              <w:t xml:space="preserve">Complete protein; fiber (beta-glucans); low fat</w:t>
            </w:r>
          </w:p>
        </w:tc>
        <w:tc>
          <w:tcPr/>
          <w:p>
            <w:pPr>
              <w:pStyle w:val="Compact"/>
              <w:jc w:val="left"/>
            </w:pPr>
            <w:r>
              <w:t xml:space="preserve">Very low; bioreactor production</w:t>
            </w:r>
          </w:p>
        </w:tc>
        <w:tc>
          <w:tcPr/>
          <w:p>
            <w:pPr>
              <w:pStyle w:val="Compact"/>
              <w:jc w:val="left"/>
            </w:pPr>
            <w:r>
              <w:t xml:space="preserve">Moderate; texture and flavor challenges</w:t>
            </w:r>
          </w:p>
        </w:tc>
      </w:tr>
    </w:tbl>
    <w:p>
      <w:pPr>
        <w:pStyle w:val="a0"/>
      </w:pPr>
      <w:r>
        <w:rPr>
          <w:b/>
          <w:bCs/>
        </w:rPr>
        <w:t xml:space="preserve">The optimal protein future likely combines multiple sources</w:t>
      </w:r>
      <w:r>
        <w:t xml:space="preserve">, with</w:t>
      </w:r>
      <w:r>
        <w:t xml:space="preserve"> </w:t>
      </w:r>
      <w:r>
        <w:rPr>
          <w:b/>
          <w:bCs/>
        </w:rPr>
        <w:t xml:space="preserve">emphasis on whole foods where possible and novel sources where they enable dietary pattern improvement</w:t>
      </w:r>
      <w:r>
        <w:t xml:space="preserve">.</w:t>
      </w:r>
    </w:p>
    <w:bookmarkEnd w:id="194"/>
    <w:bookmarkEnd w:id="195"/>
    <w:bookmarkStart w:id="199" w:name="Xa9162d1eaccd3150ab8511c195defb2e8280aa4"/>
    <w:p>
      <w:pPr>
        <w:pStyle w:val="3"/>
      </w:pPr>
      <w:r>
        <w:t xml:space="preserve">8.4 Methodological Advances in Nutritional Science</w:t>
      </w:r>
    </w:p>
    <w:bookmarkStart w:id="196" w:name="metabolomics-and-nutritional-biomarkers"/>
    <w:p>
      <w:pPr>
        <w:pStyle w:val="4"/>
      </w:pPr>
      <w:r>
        <w:t xml:space="preserve">8.4.1 Metabolomics and Nutritional Biomarkers</w:t>
      </w:r>
    </w:p>
    <w:p>
      <w:pPr>
        <w:pStyle w:val="FirstParagraph"/>
      </w:pPr>
      <w:r>
        <w:rPr>
          <w:b/>
          <w:bCs/>
        </w:rPr>
        <w:t xml:space="preserve">Objective nutritional assessment through biomarkers addresses limitations of dietary recall</w:t>
      </w:r>
      <w:r>
        <w:t xml:space="preserve">:</w:t>
      </w:r>
    </w:p>
    <w:tbl>
      <w:tblPr>
        <w:tblStyle w:val="Table"/>
        <w:tblW w:type="pct" w:w="5000"/>
        <w:jc w:val="left"/>
        <w:tblLayout w:type="fixed"/>
        <w:tblLook w:firstRow="1" w:lastRow="0" w:firstColumn="0" w:lastColumn="0" w:noHBand="0" w:noVBand="0" w:val="0020"/>
      </w:tblPr>
      <w:tblGrid>
        <w:gridCol w:w="2310"/>
        <w:gridCol w:w="1650"/>
        <w:gridCol w:w="1815"/>
        <w:gridCol w:w="2145"/>
      </w:tblGrid>
      <w:tr>
        <w:trPr>
          <w:tblHeader w:val="on"/>
        </w:trPr>
        <w:tc>
          <w:tcPr/>
          <w:p>
            <w:pPr>
              <w:pStyle w:val="Compact"/>
              <w:jc w:val="left"/>
            </w:pPr>
            <w:r>
              <w:t xml:space="preserve">Biomarker Type</w:t>
            </w:r>
          </w:p>
        </w:tc>
        <w:tc>
          <w:tcPr/>
          <w:p>
            <w:pPr>
              <w:pStyle w:val="Compact"/>
              <w:jc w:val="left"/>
            </w:pPr>
            <w:r>
              <w:t xml:space="preserve">Examples</w:t>
            </w:r>
          </w:p>
        </w:tc>
        <w:tc>
          <w:tcPr/>
          <w:p>
            <w:pPr>
              <w:pStyle w:val="Compact"/>
              <w:jc w:val="left"/>
            </w:pPr>
            <w:r>
              <w:t xml:space="preserve">Application</w:t>
            </w:r>
          </w:p>
        </w:tc>
        <w:tc>
          <w:tcPr/>
          <w:p>
            <w:pPr>
              <w:pStyle w:val="Compact"/>
              <w:jc w:val="left"/>
            </w:pPr>
            <w:r>
              <w:t xml:space="preserve">Limitations</w:t>
            </w:r>
          </w:p>
        </w:tc>
      </w:tr>
      <w:tr>
        <w:tc>
          <w:tcPr/>
          <w:p>
            <w:pPr>
              <w:pStyle w:val="Compact"/>
              <w:jc w:val="left"/>
            </w:pPr>
            <w:r>
              <w:rPr>
                <w:b/>
                <w:bCs/>
              </w:rPr>
              <w:t xml:space="preserve">Recovery biomarkers</w:t>
            </w:r>
            <w:r>
              <w:t xml:space="preserve"> </w:t>
            </w:r>
            <w:r>
              <w:t xml:space="preserve">(gold standard)</w:t>
            </w:r>
          </w:p>
        </w:tc>
        <w:tc>
          <w:tcPr/>
          <w:p>
            <w:pPr>
              <w:pStyle w:val="Compact"/>
              <w:jc w:val="left"/>
            </w:pPr>
            <w:r>
              <w:t xml:space="preserve">24-hour urinary nitrogen (protein); doubly labeled water (energy expenditure)</w:t>
            </w:r>
          </w:p>
        </w:tc>
        <w:tc>
          <w:tcPr/>
          <w:p>
            <w:pPr>
              <w:pStyle w:val="Compact"/>
              <w:jc w:val="left"/>
            </w:pPr>
            <w:r>
              <w:t xml:space="preserve">Validation of dietary assessment methods; research calibration</w:t>
            </w:r>
          </w:p>
        </w:tc>
        <w:tc>
          <w:tcPr/>
          <w:p>
            <w:pPr>
              <w:pStyle w:val="Compact"/>
              <w:jc w:val="left"/>
            </w:pPr>
            <w:r>
              <w:t xml:space="preserve">Invasive; expensive; not feasible for large-scale routine use</w:t>
            </w:r>
          </w:p>
        </w:tc>
      </w:tr>
      <w:tr>
        <w:tc>
          <w:tcPr/>
          <w:p>
            <w:pPr>
              <w:pStyle w:val="Compact"/>
              <w:jc w:val="left"/>
            </w:pPr>
            <w:r>
              <w:rPr>
                <w:b/>
                <w:bCs/>
              </w:rPr>
              <w:t xml:space="preserve">Concentration biomarkers</w:t>
            </w:r>
          </w:p>
        </w:tc>
        <w:tc>
          <w:tcPr/>
          <w:p>
            <w:pPr>
              <w:pStyle w:val="Compact"/>
              <w:jc w:val="left"/>
            </w:pPr>
            <w:r>
              <w:t xml:space="preserve">Serum vitamins, minerals, fatty acids; red blood cell folate; plasma carotenoids</w:t>
            </w:r>
          </w:p>
        </w:tc>
        <w:tc>
          <w:tcPr/>
          <w:p>
            <w:pPr>
              <w:pStyle w:val="Compact"/>
              <w:jc w:val="left"/>
            </w:pPr>
            <w:r>
              <w:t xml:space="preserve">Nutritional status assessment; deficiency identification</w:t>
            </w:r>
          </w:p>
        </w:tc>
        <w:tc>
          <w:tcPr/>
          <w:p>
            <w:pPr>
              <w:pStyle w:val="Compact"/>
              <w:jc w:val="left"/>
            </w:pPr>
            <w:r>
              <w:t xml:space="preserve">Reflect recent intake and metabolism; affected by inflammation, genetics</w:t>
            </w:r>
          </w:p>
        </w:tc>
      </w:tr>
      <w:tr>
        <w:tc>
          <w:tcPr/>
          <w:p>
            <w:pPr>
              <w:pStyle w:val="Compact"/>
              <w:jc w:val="left"/>
            </w:pPr>
            <w:r>
              <w:rPr>
                <w:b/>
                <w:bCs/>
              </w:rPr>
              <w:t xml:space="preserve">Metabolomic signatures</w:t>
            </w:r>
          </w:p>
        </w:tc>
        <w:tc>
          <w:tcPr/>
          <w:p>
            <w:pPr>
              <w:pStyle w:val="Compact"/>
              <w:jc w:val="left"/>
            </w:pPr>
            <w:r>
              <w:t xml:space="preserve">Plasma/urine metabolite profiles</w:t>
            </w:r>
          </w:p>
        </w:tc>
        <w:tc>
          <w:tcPr/>
          <w:p>
            <w:pPr>
              <w:pStyle w:val="Compact"/>
              <w:jc w:val="left"/>
            </w:pPr>
            <w:r>
              <w:t xml:space="preserve">Dietary pattern identification; intake biomarkers for specific foods</w:t>
            </w:r>
          </w:p>
        </w:tc>
        <w:tc>
          <w:tcPr/>
          <w:p>
            <w:pPr>
              <w:pStyle w:val="Compact"/>
              <w:jc w:val="left"/>
            </w:pPr>
            <w:r>
              <w:t xml:space="preserve">Complex data analysis; requires validation; expensive</w:t>
            </w:r>
          </w:p>
        </w:tc>
      </w:tr>
      <w:tr>
        <w:tc>
          <w:tcPr/>
          <w:p>
            <w:pPr>
              <w:pStyle w:val="Compact"/>
              <w:jc w:val="left"/>
            </w:pPr>
            <w:r>
              <w:rPr>
                <w:b/>
                <w:bCs/>
              </w:rPr>
              <w:t xml:space="preserve">Food-specific compounds</w:t>
            </w:r>
          </w:p>
        </w:tc>
        <w:tc>
          <w:tcPr/>
          <w:p>
            <w:pPr>
              <w:pStyle w:val="Compact"/>
              <w:jc w:val="left"/>
            </w:pPr>
            <w:r>
              <w:t xml:space="preserve">Plasma alkylresorcinols (whole grain); proanthocyanidins (cocoa); lycopene (tomato)</w:t>
            </w:r>
          </w:p>
        </w:tc>
        <w:tc>
          <w:tcPr/>
          <w:p>
            <w:pPr>
              <w:pStyle w:val="Compact"/>
              <w:jc w:val="left"/>
            </w:pPr>
            <w:r>
              <w:t xml:space="preserve">Objective intake markers for specific foods</w:t>
            </w:r>
          </w:p>
        </w:tc>
        <w:tc>
          <w:tcPr/>
          <w:p>
            <w:pPr>
              <w:pStyle w:val="Compact"/>
              <w:jc w:val="left"/>
            </w:pPr>
            <w:r>
              <w:t xml:space="preserve">Variable half-lives; not all foods have specific markers</w:t>
            </w:r>
          </w:p>
        </w:tc>
      </w:tr>
    </w:tbl>
    <w:p>
      <w:pPr>
        <w:pStyle w:val="a0"/>
      </w:pPr>
      <w:r>
        <w:rPr>
          <w:b/>
          <w:bCs/>
        </w:rPr>
        <w:t xml:space="preserve">Metabolomics has identified</w:t>
      </w:r>
      <w:r>
        <w:rPr>
          <w:b/>
          <w:bCs/>
        </w:rPr>
        <w:t xml:space="preserve"> </w:t>
      </w:r>
      <w:r>
        <w:rPr>
          <w:b/>
          <w:bCs/>
        </w:rPr>
        <w:t xml:space="preserve">“</w:t>
      </w:r>
      <w:r>
        <w:rPr>
          <w:b/>
          <w:bCs/>
        </w:rPr>
        <w:t xml:space="preserve">nutritypes</w:t>
      </w:r>
      <w:r>
        <w:rPr>
          <w:b/>
          <w:bCs/>
        </w:rPr>
        <w:t xml:space="preserve">”</w:t>
      </w:r>
      <w:r>
        <w:rPr>
          <w:b/>
          <w:bCs/>
        </w:rPr>
        <w:t xml:space="preserve">—metabolic phenotypes that respond differently to dietary interventions</w:t>
      </w:r>
      <w:r>
        <w:t xml:space="preserve">—supporting personalized nutrition approaches.</w:t>
      </w:r>
    </w:p>
    <w:bookmarkEnd w:id="196"/>
    <w:bookmarkStart w:id="197" w:name="X8c6b73b30480d80888926715f348ff81623409d"/>
    <w:p>
      <w:pPr>
        <w:pStyle w:val="4"/>
      </w:pPr>
      <w:r>
        <w:t xml:space="preserve">8.4.2 Large-Scale Cohort Studies and Mendelian Randomization</w:t>
      </w:r>
    </w:p>
    <w:p>
      <w:pPr>
        <w:pStyle w:val="FirstParagraph"/>
      </w:pPr>
      <w:r>
        <w:rPr>
          <w:b/>
          <w:bCs/>
        </w:rPr>
        <w:t xml:space="preserve">Modern nutritional epidemiology employs sophisticated designs to strengthen causal inference</w:t>
      </w:r>
      <w:r>
        <w:t xml:space="preserve">:</w:t>
      </w:r>
    </w:p>
    <w:tbl>
      <w:tblPr>
        <w:tblStyle w:val="Table"/>
        <w:tblW w:type="pct" w:w="5000"/>
        <w:jc w:val="left"/>
        <w:tblLayout w:type="fixed"/>
        <w:tblLook w:firstRow="1" w:lastRow="0" w:firstColumn="0" w:lastColumn="0" w:noHBand="0" w:noVBand="0" w:val="0020"/>
      </w:tblPr>
      <w:tblGrid>
        <w:gridCol w:w="1980"/>
        <w:gridCol w:w="1620"/>
        <w:gridCol w:w="1980"/>
        <w:gridCol w:w="2340"/>
      </w:tblGrid>
      <w:tr>
        <w:trPr>
          <w:tblHeader w:val="on"/>
        </w:trPr>
        <w:tc>
          <w:tcPr/>
          <w:p>
            <w:pPr>
              <w:pStyle w:val="Compact"/>
              <w:jc w:val="left"/>
            </w:pPr>
            <w:r>
              <w:t xml:space="preserve">Study Design</w:t>
            </w:r>
          </w:p>
        </w:tc>
        <w:tc>
          <w:tcPr/>
          <w:p>
            <w:pPr>
              <w:pStyle w:val="Compact"/>
              <w:jc w:val="left"/>
            </w:pPr>
            <w:r>
              <w:t xml:space="preserve">Example</w:t>
            </w:r>
          </w:p>
        </w:tc>
        <w:tc>
          <w:tcPr/>
          <w:p>
            <w:pPr>
              <w:pStyle w:val="Compact"/>
              <w:jc w:val="left"/>
            </w:pPr>
            <w:r>
              <w:t xml:space="preserve">Strengths</w:t>
            </w:r>
          </w:p>
        </w:tc>
        <w:tc>
          <w:tcPr/>
          <w:p>
            <w:pPr>
              <w:pStyle w:val="Compact"/>
              <w:jc w:val="left"/>
            </w:pPr>
            <w:r>
              <w:t xml:space="preserve">Limitations</w:t>
            </w:r>
          </w:p>
        </w:tc>
      </w:tr>
      <w:tr>
        <w:tc>
          <w:tcPr/>
          <w:p>
            <w:pPr>
              <w:pStyle w:val="Compact"/>
              <w:jc w:val="left"/>
            </w:pPr>
            <w:r>
              <w:rPr>
                <w:b/>
                <w:bCs/>
              </w:rPr>
              <w:t xml:space="preserve">Prospective cohort studies</w:t>
            </w:r>
          </w:p>
        </w:tc>
        <w:tc>
          <w:tcPr/>
          <w:p>
            <w:pPr>
              <w:pStyle w:val="Compact"/>
              <w:jc w:val="left"/>
            </w:pPr>
            <w:r>
              <w:t xml:space="preserve">Nurses’ Health Study; EPIC; UK Biobank</w:t>
            </w:r>
          </w:p>
        </w:tc>
        <w:tc>
          <w:tcPr/>
          <w:p>
            <w:pPr>
              <w:pStyle w:val="Compact"/>
              <w:jc w:val="left"/>
            </w:pPr>
            <w:r>
              <w:t xml:space="preserve">Large sample; long follow-up; multiple exposures and outcomes</w:t>
            </w:r>
          </w:p>
        </w:tc>
        <w:tc>
          <w:tcPr/>
          <w:p>
            <w:pPr>
              <w:pStyle w:val="Compact"/>
              <w:jc w:val="left"/>
            </w:pPr>
            <w:r>
              <w:t xml:space="preserve">Residual confounding; dietary measurement error; healthy user bias</w:t>
            </w:r>
          </w:p>
        </w:tc>
      </w:tr>
      <w:tr>
        <w:tc>
          <w:tcPr/>
          <w:p>
            <w:pPr>
              <w:pStyle w:val="Compact"/>
              <w:jc w:val="left"/>
            </w:pPr>
            <w:r>
              <w:rPr>
                <w:b/>
                <w:bCs/>
              </w:rPr>
              <w:t xml:space="preserve">Randomized controlled trials</w:t>
            </w:r>
          </w:p>
        </w:tc>
        <w:tc>
          <w:tcPr/>
          <w:p>
            <w:pPr>
              <w:pStyle w:val="Compact"/>
              <w:jc w:val="left"/>
            </w:pPr>
            <w:r>
              <w:t xml:space="preserve">PREDIMED; DASH; Look AHEAD</w:t>
            </w:r>
          </w:p>
        </w:tc>
        <w:tc>
          <w:tcPr/>
          <w:p>
            <w:pPr>
              <w:pStyle w:val="Compact"/>
              <w:jc w:val="left"/>
            </w:pPr>
            <w:r>
              <w:t xml:space="preserve">Strongest causal evidence; controlled conditions</w:t>
            </w:r>
          </w:p>
        </w:tc>
        <w:tc>
          <w:tcPr/>
          <w:p>
            <w:pPr>
              <w:pStyle w:val="Compact"/>
              <w:jc w:val="left"/>
            </w:pPr>
            <w:r>
              <w:t xml:space="preserve">Expensive; limited duration; selected populations; adherence challenges</w:t>
            </w:r>
          </w:p>
        </w:tc>
      </w:tr>
      <w:tr>
        <w:tc>
          <w:tcPr/>
          <w:p>
            <w:pPr>
              <w:pStyle w:val="Compact"/>
              <w:jc w:val="left"/>
            </w:pPr>
            <w:r>
              <w:rPr>
                <w:b/>
                <w:bCs/>
              </w:rPr>
              <w:t xml:space="preserve">Mendelian randomization</w:t>
            </w:r>
          </w:p>
        </w:tc>
        <w:tc>
          <w:tcPr/>
          <w:p>
            <w:pPr>
              <w:pStyle w:val="Compact"/>
              <w:jc w:val="left"/>
            </w:pPr>
            <w:r>
              <w:t xml:space="preserve">ALDH2 variants and alcohol; FTO and obesity; PCSK9 and LDL</w:t>
            </w:r>
          </w:p>
        </w:tc>
        <w:tc>
          <w:tcPr/>
          <w:p>
            <w:pPr>
              <w:pStyle w:val="Compact"/>
              <w:jc w:val="left"/>
            </w:pPr>
            <w:r>
              <w:t xml:space="preserve">Uses genetic variants as instrumental variables; reduces confounding and reverse causation</w:t>
            </w:r>
          </w:p>
        </w:tc>
        <w:tc>
          <w:tcPr/>
          <w:p>
            <w:pPr>
              <w:pStyle w:val="Compact"/>
              <w:jc w:val="left"/>
            </w:pPr>
            <w:r>
              <w:t xml:space="preserve">Genetic variants may have pleiotropic effects; weak instruments; population stratification</w:t>
            </w:r>
          </w:p>
        </w:tc>
      </w:tr>
      <w:tr>
        <w:tc>
          <w:tcPr/>
          <w:p>
            <w:pPr>
              <w:pStyle w:val="Compact"/>
              <w:jc w:val="left"/>
            </w:pPr>
            <w:r>
              <w:rPr>
                <w:b/>
                <w:bCs/>
              </w:rPr>
              <w:t xml:space="preserve">NutriNet-Santé (France)</w:t>
            </w:r>
          </w:p>
        </w:tc>
        <w:tc>
          <w:tcPr/>
          <w:p>
            <w:pPr>
              <w:pStyle w:val="Compact"/>
              <w:jc w:val="left"/>
            </w:pPr>
            <w:r>
              <w:t xml:space="preserve">Web-based cohort with detailed dietary records</w:t>
            </w:r>
          </w:p>
        </w:tc>
        <w:tc>
          <w:tcPr/>
          <w:p>
            <w:pPr>
              <w:pStyle w:val="Compact"/>
              <w:jc w:val="left"/>
            </w:pPr>
            <w:r>
              <w:t xml:space="preserve">Frequent, detailed dietary data; linked to health outcomes; large scale</w:t>
            </w:r>
          </w:p>
        </w:tc>
        <w:tc>
          <w:tcPr/>
          <w:p>
            <w:pPr>
              <w:pStyle w:val="Compact"/>
              <w:jc w:val="left"/>
            </w:pPr>
            <w:r>
              <w:t xml:space="preserve">Selection bias (health-conscious volunteers); digital divide</w:t>
            </w:r>
          </w:p>
        </w:tc>
      </w:tr>
    </w:tbl>
    <w:p>
      <w:pPr>
        <w:pStyle w:val="a0"/>
      </w:pPr>
      <w:r>
        <w:rPr>
          <w:b/>
          <w:bCs/>
        </w:rPr>
        <w:t xml:space="preserve">Mendelian randomization has challenged some nutritional hypotheses</w:t>
      </w:r>
      <w:r>
        <w:t xml:space="preserve">:</w:t>
      </w:r>
      <w:r>
        <w:t xml:space="preserve"> </w:t>
      </w:r>
      <w:r>
        <w:rPr>
          <w:b/>
          <w:bCs/>
        </w:rPr>
        <w:t xml:space="preserve">alcohol’s cardioprotective effects appear largely confounded</w:t>
      </w:r>
      <w:r>
        <w:t xml:space="preserve"> </w:t>
      </w:r>
      <w:r>
        <w:t xml:space="preserve">(genetic studies show harm even at moderate intake);</w:t>
      </w:r>
      <w:r>
        <w:t xml:space="preserve"> </w:t>
      </w:r>
      <w:r>
        <w:rPr>
          <w:b/>
          <w:bCs/>
        </w:rPr>
        <w:t xml:space="preserve">vitamin D supplementation effects are smaller than observational studies suggested</w:t>
      </w:r>
      <w:r>
        <w:t xml:space="preserve">; and</w:t>
      </w:r>
      <w:r>
        <w:t xml:space="preserve"> </w:t>
      </w:r>
      <w:r>
        <w:rPr>
          <w:b/>
          <w:bCs/>
        </w:rPr>
        <w:t xml:space="preserve">LDL cholesterol is causally related to cardiovascular disease regardless of source</w:t>
      </w:r>
      <w:r>
        <w:t xml:space="preserve">.</w:t>
      </w:r>
    </w:p>
    <w:bookmarkEnd w:id="197"/>
    <w:bookmarkStart w:id="198" w:name="Xf2086cd89b3710e89d1f8e2180bfc70d2c9a5ec"/>
    <w:p>
      <w:pPr>
        <w:pStyle w:val="4"/>
      </w:pPr>
      <w:r>
        <w:t xml:space="preserve">8.4.3 Challenges in Dietary Assessment and Recall Bias Mitigation</w:t>
      </w:r>
    </w:p>
    <w:p>
      <w:pPr>
        <w:pStyle w:val="FirstParagraph"/>
      </w:pPr>
      <w:r>
        <w:rPr>
          <w:b/>
          <w:bCs/>
        </w:rPr>
        <w:t xml:space="preserve">Dietary assessment remains the</w:t>
      </w:r>
      <w:r>
        <w:rPr>
          <w:b/>
          <w:bCs/>
        </w:rPr>
        <w:t xml:space="preserve"> </w:t>
      </w:r>
      <w:r>
        <w:rPr>
          <w:b/>
          <w:bCs/>
        </w:rPr>
        <w:t xml:space="preserve">“</w:t>
      </w:r>
      <w:r>
        <w:rPr>
          <w:b/>
          <w:bCs/>
        </w:rPr>
        <w:t xml:space="preserve">Achilles heel</w:t>
      </w:r>
      <w:r>
        <w:rPr>
          <w:b/>
          <w:bCs/>
        </w:rPr>
        <w:t xml:space="preserve">”</w:t>
      </w:r>
      <w:r>
        <w:rPr>
          <w:b/>
          <w:bCs/>
        </w:rPr>
        <w:t xml:space="preserve"> </w:t>
      </w:r>
      <w:r>
        <w:rPr>
          <w:b/>
          <w:bCs/>
        </w:rPr>
        <w:t xml:space="preserve">of nutritional epidemiology</w:t>
      </w:r>
      <w:r>
        <w:t xml:space="preserve">:</w:t>
      </w:r>
    </w:p>
    <w:tbl>
      <w:tblPr>
        <w:tblStyle w:val="Table"/>
        <w:tblW w:type="pct" w:w="5000"/>
        <w:jc w:val="left"/>
        <w:tblLayout w:type="fixed"/>
        <w:tblLook w:firstRow="1" w:lastRow="0" w:firstColumn="0" w:lastColumn="0" w:noHBand="0" w:noVBand="0" w:val="0020"/>
      </w:tblPr>
      <w:tblGrid>
        <w:gridCol w:w="1885"/>
        <w:gridCol w:w="1885"/>
        <w:gridCol w:w="4148"/>
      </w:tblGrid>
      <w:tr>
        <w:trPr>
          <w:tblHeader w:val="on"/>
        </w:trPr>
        <w:tc>
          <w:tcPr/>
          <w:p>
            <w:pPr>
              <w:pStyle w:val="Compact"/>
              <w:jc w:val="left"/>
            </w:pPr>
            <w:r>
              <w:t xml:space="preserve">Challenge</w:t>
            </w:r>
          </w:p>
        </w:tc>
        <w:tc>
          <w:tcPr/>
          <w:p>
            <w:pPr>
              <w:pStyle w:val="Compact"/>
              <w:jc w:val="left"/>
            </w:pPr>
            <w:r>
              <w:t xml:space="preserve">Magnitude</w:t>
            </w:r>
          </w:p>
        </w:tc>
        <w:tc>
          <w:tcPr/>
          <w:p>
            <w:pPr>
              <w:pStyle w:val="Compact"/>
              <w:jc w:val="left"/>
            </w:pPr>
            <w:r>
              <w:t xml:space="preserve">Mitigation Strategies</w:t>
            </w:r>
          </w:p>
        </w:tc>
      </w:tr>
      <w:tr>
        <w:tc>
          <w:tcPr/>
          <w:p>
            <w:pPr>
              <w:pStyle w:val="Compact"/>
              <w:jc w:val="left"/>
            </w:pPr>
            <w:r>
              <w:rPr>
                <w:b/>
                <w:bCs/>
              </w:rPr>
              <w:t xml:space="preserve">Recall bias</w:t>
            </w:r>
          </w:p>
        </w:tc>
        <w:tc>
          <w:tcPr/>
          <w:p>
            <w:pPr>
              <w:pStyle w:val="Compact"/>
              <w:jc w:val="left"/>
            </w:pPr>
            <w:r>
              <w:t xml:space="preserve">Underreporting of 20–30% common; greater for snacks, alcohol,</w:t>
            </w:r>
            <w:r>
              <w:t xml:space="preserve"> </w:t>
            </w:r>
            <w:r>
              <w:t xml:space="preserve">“</w:t>
            </w:r>
            <w:r>
              <w:t xml:space="preserve">unhealthy</w:t>
            </w:r>
            <w:r>
              <w:t xml:space="preserve">”</w:t>
            </w:r>
            <w:r>
              <w:t xml:space="preserve"> </w:t>
            </w:r>
            <w:r>
              <w:t xml:space="preserve">foods</w:t>
            </w:r>
          </w:p>
        </w:tc>
        <w:tc>
          <w:tcPr/>
          <w:p>
            <w:pPr>
              <w:pStyle w:val="Compact"/>
              <w:jc w:val="left"/>
            </w:pPr>
            <w:r>
              <w:t xml:space="preserve">Multiple 24-hour recalls; food photography; passive sensors; biomarker calibration</w:t>
            </w:r>
          </w:p>
        </w:tc>
      </w:tr>
      <w:tr>
        <w:tc>
          <w:tcPr/>
          <w:p>
            <w:pPr>
              <w:pStyle w:val="Compact"/>
              <w:jc w:val="left"/>
            </w:pPr>
            <w:r>
              <w:rPr>
                <w:b/>
                <w:bCs/>
              </w:rPr>
              <w:t xml:space="preserve">Day-to-day variation</w:t>
            </w:r>
          </w:p>
        </w:tc>
        <w:tc>
          <w:tcPr/>
          <w:p>
            <w:pPr>
              <w:pStyle w:val="Compact"/>
              <w:jc w:val="left"/>
            </w:pPr>
            <w:r>
              <w:t xml:space="preserve">Single day unrepresentative; coefficient of variation 30–50% for many nutrients</w:t>
            </w:r>
          </w:p>
        </w:tc>
        <w:tc>
          <w:tcPr/>
          <w:p>
            <w:pPr>
              <w:pStyle w:val="Compact"/>
              <w:jc w:val="left"/>
            </w:pPr>
            <w:r>
              <w:t xml:space="preserve">Multiple assessment days; usual intake statistical modeling</w:t>
            </w:r>
          </w:p>
        </w:tc>
      </w:tr>
      <w:tr>
        <w:tc>
          <w:tcPr/>
          <w:p>
            <w:pPr>
              <w:pStyle w:val="Compact"/>
              <w:jc w:val="left"/>
            </w:pPr>
            <w:r>
              <w:rPr>
                <w:b/>
                <w:bCs/>
              </w:rPr>
              <w:t xml:space="preserve">Food composition database limitations</w:t>
            </w:r>
          </w:p>
        </w:tc>
        <w:tc>
          <w:tcPr/>
          <w:p>
            <w:pPr>
              <w:pStyle w:val="Compact"/>
              <w:jc w:val="left"/>
            </w:pPr>
            <w:r>
              <w:t xml:space="preserve">Variability in actual nutrient content; missing bioactive compounds; regional differences</w:t>
            </w:r>
          </w:p>
        </w:tc>
        <w:tc>
          <w:tcPr/>
          <w:p>
            <w:pPr>
              <w:pStyle w:val="Compact"/>
              <w:jc w:val="left"/>
            </w:pPr>
            <w:r>
              <w:t xml:space="preserve">Analytical updates; branded food databases; metabolomic characterization</w:t>
            </w:r>
          </w:p>
        </w:tc>
      </w:tr>
      <w:tr>
        <w:tc>
          <w:tcPr/>
          <w:p>
            <w:pPr>
              <w:pStyle w:val="Compact"/>
              <w:jc w:val="left"/>
            </w:pPr>
            <w:r>
              <w:rPr>
                <w:b/>
                <w:bCs/>
              </w:rPr>
              <w:t xml:space="preserve">Changing food supply</w:t>
            </w:r>
          </w:p>
        </w:tc>
        <w:tc>
          <w:tcPr/>
          <w:p>
            <w:pPr>
              <w:pStyle w:val="Compact"/>
              <w:jc w:val="left"/>
            </w:pPr>
            <w:r>
              <w:t xml:space="preserve">New products; reformulation; fortification changes</w:t>
            </w:r>
          </w:p>
        </w:tc>
        <w:tc>
          <w:tcPr/>
          <w:p>
            <w:pPr>
              <w:pStyle w:val="Compact"/>
              <w:jc w:val="left"/>
            </w:pPr>
            <w:r>
              <w:t xml:space="preserve">Continuous database updating; market monitoring</w:t>
            </w:r>
          </w:p>
        </w:tc>
      </w:tr>
      <w:tr>
        <w:tc>
          <w:tcPr/>
          <w:p>
            <w:pPr>
              <w:pStyle w:val="Compact"/>
              <w:jc w:val="left"/>
            </w:pPr>
            <w:r>
              <w:rPr>
                <w:b/>
                <w:bCs/>
              </w:rPr>
              <w:t xml:space="preserve">Social desirability bias</w:t>
            </w:r>
          </w:p>
        </w:tc>
        <w:tc>
          <w:tcPr/>
          <w:p>
            <w:pPr>
              <w:pStyle w:val="Compact"/>
              <w:jc w:val="left"/>
            </w:pPr>
            <w:r>
              <w:t xml:space="preserve">Overreporting</w:t>
            </w:r>
            <w:r>
              <w:t xml:space="preserve"> </w:t>
            </w:r>
            <w:r>
              <w:t xml:space="preserve">“</w:t>
            </w:r>
            <w:r>
              <w:t xml:space="preserve">healthy</w:t>
            </w:r>
            <w:r>
              <w:t xml:space="preserve">”</w:t>
            </w:r>
            <w:r>
              <w:t xml:space="preserve"> </w:t>
            </w:r>
            <w:r>
              <w:t xml:space="preserve">foods; underreporting</w:t>
            </w:r>
            <w:r>
              <w:t xml:space="preserve"> </w:t>
            </w:r>
            <w:r>
              <w:t xml:space="preserve">“</w:t>
            </w:r>
            <w:r>
              <w:t xml:space="preserve">unhealthy</w:t>
            </w:r>
            <w:r>
              <w:t xml:space="preserve">”</w:t>
            </w:r>
            <w:r>
              <w:t xml:space="preserve"> </w:t>
            </w:r>
            <w:r>
              <w:t xml:space="preserve">foods</w:t>
            </w:r>
          </w:p>
        </w:tc>
        <w:tc>
          <w:tcPr/>
          <w:p>
            <w:pPr>
              <w:pStyle w:val="Compact"/>
              <w:jc w:val="left"/>
            </w:pPr>
            <w:r>
              <w:t xml:space="preserve">Neutral questioning; validation biomarkers; dietary pattern approaches less susceptible</w:t>
            </w:r>
          </w:p>
        </w:tc>
      </w:tr>
    </w:tbl>
    <w:p>
      <w:pPr>
        <w:pStyle w:val="a0"/>
      </w:pPr>
      <w:r>
        <w:rPr>
          <w:b/>
          <w:bCs/>
        </w:rPr>
        <w:t xml:space="preserve">Technological innovations</w:t>
      </w:r>
      <w:r>
        <w:t xml:space="preserve">—</w:t>
      </w:r>
      <w:r>
        <w:rPr>
          <w:b/>
          <w:bCs/>
        </w:rPr>
        <w:t xml:space="preserve">smartphone-based image recognition, passive chewing and swallowing sensors, continuous metabolite monitoring</w:t>
      </w:r>
      <w:r>
        <w:t xml:space="preserve">—may</w:t>
      </w:r>
      <w:r>
        <w:t xml:space="preserve"> </w:t>
      </w:r>
      <w:r>
        <w:rPr>
          <w:b/>
          <w:bCs/>
        </w:rPr>
        <w:t xml:space="preserve">revolutionize dietary assessment precision</w:t>
      </w:r>
      <w:r>
        <w:t xml:space="preserve"> </w:t>
      </w:r>
      <w:r>
        <w:t xml:space="preserve">in coming decades.</w:t>
      </w:r>
    </w:p>
    <w:bookmarkEnd w:id="198"/>
    <w:bookmarkEnd w:id="199"/>
    <w:bookmarkEnd w:id="200"/>
    <w:bookmarkStart w:id="213" w:name="X9268230ac78bf92eb4e169982b7002277a35641"/>
    <w:p>
      <w:pPr>
        <w:pStyle w:val="2"/>
      </w:pPr>
      <w:r>
        <w:t xml:space="preserve">9. Integrative Guidelines and Practical Applications</w:t>
      </w:r>
    </w:p>
    <w:bookmarkStart w:id="204" w:name="X608fd5ff2b894dd7dfc37e6bbd01aa618085951"/>
    <w:p>
      <w:pPr>
        <w:pStyle w:val="3"/>
      </w:pPr>
      <w:r>
        <w:t xml:space="preserve">9.1 Translating Evidence into Dietary Guidance</w:t>
      </w:r>
    </w:p>
    <w:bookmarkStart w:id="201" w:name="Xc4c623d7bbefaa2e7f2594dbee5b2941ab5e836"/>
    <w:p>
      <w:pPr>
        <w:pStyle w:val="4"/>
      </w:pPr>
      <w:r>
        <w:t xml:space="preserve">9.1.1 National and International Guideline Harmonization</w:t>
      </w:r>
    </w:p>
    <w:p>
      <w:pPr>
        <w:pStyle w:val="FirstParagraph"/>
      </w:pPr>
      <w:r>
        <w:rPr>
          <w:b/>
          <w:bCs/>
        </w:rPr>
        <w:t xml:space="preserve">Dietary guidelines have converged globally around core principles</w:t>
      </w:r>
      <w:r>
        <w:t xml:space="preserve">, despite national variation in food culture and specific recommendations:</w:t>
      </w:r>
    </w:p>
    <w:tbl>
      <w:tblPr>
        <w:tblStyle w:val="Table"/>
        <w:tblW w:type="pct" w:w="5000"/>
        <w:jc w:val="left"/>
        <w:tblLayout w:type="fixed"/>
        <w:tblLook w:firstRow="1" w:lastRow="0" w:firstColumn="0" w:lastColumn="0" w:noHBand="0" w:noVBand="0" w:val="0020"/>
      </w:tblPr>
      <w:tblGrid>
        <w:gridCol w:w="2160"/>
        <w:gridCol w:w="2736"/>
        <w:gridCol w:w="3024"/>
      </w:tblGrid>
      <w:tr>
        <w:trPr>
          <w:tblHeader w:val="on"/>
        </w:trPr>
        <w:tc>
          <w:tcPr/>
          <w:p>
            <w:pPr>
              <w:pStyle w:val="Compact"/>
              <w:jc w:val="left"/>
            </w:pPr>
            <w:r>
              <w:t xml:space="preserve">Guideline Source</w:t>
            </w:r>
          </w:p>
        </w:tc>
        <w:tc>
          <w:tcPr/>
          <w:p>
            <w:pPr>
              <w:pStyle w:val="Compact"/>
              <w:jc w:val="left"/>
            </w:pPr>
            <w:r>
              <w:t xml:space="preserve">Core Commonalities</w:t>
            </w:r>
          </w:p>
        </w:tc>
        <w:tc>
          <w:tcPr/>
          <w:p>
            <w:pPr>
              <w:pStyle w:val="Compact"/>
              <w:jc w:val="left"/>
            </w:pPr>
            <w:r>
              <w:t xml:space="preserve">Distinctive Features</w:t>
            </w:r>
          </w:p>
        </w:tc>
      </w:tr>
      <w:tr>
        <w:tc>
          <w:tcPr/>
          <w:p>
            <w:pPr>
              <w:pStyle w:val="Compact"/>
              <w:jc w:val="left"/>
            </w:pPr>
            <w:r>
              <w:rPr>
                <w:b/>
                <w:bCs/>
              </w:rPr>
              <w:t xml:space="preserve">WHO global recommendations</w:t>
            </w:r>
          </w:p>
        </w:tc>
        <w:tc>
          <w:tcPr/>
          <w:p>
            <w:pPr>
              <w:pStyle w:val="Compact"/>
              <w:jc w:val="left"/>
            </w:pPr>
            <w:r>
              <w:t xml:space="preserve">Vegetables, fruits, whole grains, legumes; limit sodium, saturated fat, added sugars, trans fats</w:t>
            </w:r>
          </w:p>
        </w:tc>
        <w:tc>
          <w:tcPr/>
          <w:p>
            <w:pPr>
              <w:pStyle w:val="Compact"/>
              <w:jc w:val="left"/>
            </w:pPr>
            <w:r>
              <w:t xml:space="preserve">Emphasis on food systems; sustainability emerging; universal applicability</w:t>
            </w:r>
          </w:p>
        </w:tc>
      </w:tr>
      <w:tr>
        <w:tc>
          <w:tcPr/>
          <w:p>
            <w:pPr>
              <w:pStyle w:val="Compact"/>
              <w:jc w:val="left"/>
            </w:pPr>
            <w:r>
              <w:rPr>
                <w:b/>
                <w:bCs/>
              </w:rPr>
              <w:t xml:space="preserve">US Dietary Guidelines (2020–2025)</w:t>
            </w:r>
          </w:p>
        </w:tc>
        <w:tc>
          <w:tcPr/>
          <w:p>
            <w:pPr>
              <w:pStyle w:val="Compact"/>
              <w:jc w:val="left"/>
            </w:pPr>
            <w:r>
              <w:t xml:space="preserve">Similar food groups; limits on added sugars (&lt;10% calories), sodium, saturated fat</w:t>
            </w:r>
          </w:p>
        </w:tc>
        <w:tc>
          <w:tcPr/>
          <w:p>
            <w:pPr>
              <w:pStyle w:val="Compact"/>
              <w:jc w:val="left"/>
            </w:pPr>
            <w:r>
              <w:t xml:space="preserve">“</w:t>
            </w:r>
            <w:r>
              <w:t xml:space="preserve">Make every bite count</w:t>
            </w:r>
            <w:r>
              <w:t xml:space="preserve">”</w:t>
            </w:r>
            <w:r>
              <w:t xml:space="preserve"> </w:t>
            </w:r>
            <w:r>
              <w:t xml:space="preserve">nutrient density emphasis; dietary patterns approach; added sugars limit</w:t>
            </w:r>
          </w:p>
        </w:tc>
      </w:tr>
      <w:tr>
        <w:tc>
          <w:tcPr/>
          <w:p>
            <w:pPr>
              <w:pStyle w:val="Compact"/>
              <w:jc w:val="left"/>
            </w:pPr>
            <w:r>
              <w:rPr>
                <w:b/>
                <w:bCs/>
              </w:rPr>
              <w:t xml:space="preserve">Mediterranean Diet Pyramid</w:t>
            </w:r>
          </w:p>
        </w:tc>
        <w:tc>
          <w:tcPr/>
          <w:p>
            <w:pPr>
              <w:pStyle w:val="Compact"/>
              <w:jc w:val="left"/>
            </w:pPr>
            <w:r>
              <w:t xml:space="preserve">Olive oil, vegetables, fruits, grains, legumes, fish; social and lifestyle dimensions</w:t>
            </w:r>
          </w:p>
        </w:tc>
        <w:tc>
          <w:tcPr/>
          <w:p>
            <w:pPr>
              <w:pStyle w:val="Compact"/>
              <w:jc w:val="left"/>
            </w:pPr>
            <w:r>
              <w:t xml:space="preserve">Cultural context; wine optional; physical activity; conviviality</w:t>
            </w:r>
          </w:p>
        </w:tc>
      </w:tr>
      <w:tr>
        <w:tc>
          <w:tcPr/>
          <w:p>
            <w:pPr>
              <w:pStyle w:val="Compact"/>
              <w:jc w:val="left"/>
            </w:pPr>
            <w:r>
              <w:rPr>
                <w:b/>
                <w:bCs/>
              </w:rPr>
              <w:t xml:space="preserve">Nordic Nutrition Recommendations</w:t>
            </w:r>
          </w:p>
        </w:tc>
        <w:tc>
          <w:tcPr/>
          <w:p>
            <w:pPr>
              <w:pStyle w:val="Compact"/>
              <w:jc w:val="left"/>
            </w:pPr>
            <w:r>
              <w:t xml:space="preserve">Similar to Mediterranean; local, seasonal, sustainable emphasis</w:t>
            </w:r>
          </w:p>
        </w:tc>
        <w:tc>
          <w:tcPr/>
          <w:p>
            <w:pPr>
              <w:pStyle w:val="Compact"/>
              <w:jc w:val="left"/>
            </w:pPr>
            <w:r>
              <w:t xml:space="preserve">Environmental sustainability integrated; specific Scandinavian foods</w:t>
            </w:r>
          </w:p>
        </w:tc>
      </w:tr>
      <w:tr>
        <w:tc>
          <w:tcPr/>
          <w:p>
            <w:pPr>
              <w:pStyle w:val="Compact"/>
              <w:jc w:val="left"/>
            </w:pPr>
            <w:r>
              <w:rPr>
                <w:b/>
                <w:bCs/>
              </w:rPr>
              <w:t xml:space="preserve">EAT-Lancet Planetary Health Diet</w:t>
            </w:r>
          </w:p>
        </w:tc>
        <w:tc>
          <w:tcPr/>
          <w:p>
            <w:pPr>
              <w:pStyle w:val="Compact"/>
              <w:jc w:val="left"/>
            </w:pPr>
            <w:r>
              <w:t xml:space="preserve">Plant-forward; limits on animal foods; emphasizes sustainability</w:t>
            </w:r>
          </w:p>
        </w:tc>
        <w:tc>
          <w:tcPr/>
          <w:p>
            <w:pPr>
              <w:pStyle w:val="Compact"/>
              <w:jc w:val="left"/>
            </w:pPr>
            <w:r>
              <w:t xml:space="preserve">Quantified global targets; environmental boundaries explicit</w:t>
            </w:r>
          </w:p>
        </w:tc>
      </w:tr>
    </w:tbl>
    <w:p>
      <w:pPr>
        <w:pStyle w:val="a0"/>
      </w:pPr>
      <w:r>
        <w:rPr>
          <w:b/>
          <w:bCs/>
        </w:rPr>
        <w:t xml:space="preserve">Harmonization around food-based patterns rather than nutrient prescriptions</w:t>
      </w:r>
      <w:r>
        <w:t xml:space="preserve"> </w:t>
      </w:r>
      <w:r>
        <w:t xml:space="preserve">represents</w:t>
      </w:r>
      <w:r>
        <w:t xml:space="preserve"> </w:t>
      </w:r>
      <w:r>
        <w:rPr>
          <w:b/>
          <w:bCs/>
        </w:rPr>
        <w:t xml:space="preserve">progress toward practical, culturally adaptable guidance</w:t>
      </w:r>
      <w:r>
        <w:t xml:space="preserve">.</w:t>
      </w:r>
    </w:p>
    <w:bookmarkEnd w:id="201"/>
    <w:bookmarkStart w:id="202" w:name="X2ca2451bdc8c2727b9ff4eff9773c1849243b6f"/>
    <w:p>
      <w:pPr>
        <w:pStyle w:val="4"/>
      </w:pPr>
      <w:r>
        <w:t xml:space="preserve">9.1.2 Food-Based versus Nutrient-Based Recommendations</w:t>
      </w:r>
    </w:p>
    <w:p>
      <w:pPr>
        <w:pStyle w:val="FirstParagraph"/>
      </w:pPr>
      <w:r>
        <w:rPr>
          <w:b/>
          <w:bCs/>
        </w:rPr>
        <w:t xml:space="preserve">The evolution from nutrient-based to food-based recommendations reflects scientific and practical advances</w:t>
      </w:r>
      <w:r>
        <w:t xml:space="preserve">:</w:t>
      </w:r>
    </w:p>
    <w:tbl>
      <w:tblPr>
        <w:tblStyle w:val="Table"/>
        <w:tblW w:type="pct" w:w="5000"/>
        <w:jc w:val="left"/>
        <w:tblLayout w:type="fixed"/>
        <w:tblLook w:firstRow="1" w:lastRow="0" w:firstColumn="0" w:lastColumn="0" w:noHBand="0" w:noVBand="0" w:val="0020"/>
      </w:tblPr>
      <w:tblGrid>
        <w:gridCol w:w="1370"/>
        <w:gridCol w:w="761"/>
        <w:gridCol w:w="1675"/>
        <w:gridCol w:w="1980"/>
        <w:gridCol w:w="2132"/>
      </w:tblGrid>
      <w:tr>
        <w:trPr>
          <w:tblHeader w:val="on"/>
        </w:trPr>
        <w:tc>
          <w:tcPr/>
          <w:p>
            <w:pPr>
              <w:pStyle w:val="Compact"/>
              <w:jc w:val="left"/>
            </w:pPr>
            <w:r>
              <w:t xml:space="preserve">Approach</w:t>
            </w:r>
          </w:p>
        </w:tc>
        <w:tc>
          <w:tcPr/>
          <w:p>
            <w:pPr>
              <w:pStyle w:val="Compact"/>
              <w:jc w:val="left"/>
            </w:pPr>
            <w:r>
              <w:t xml:space="preserve">Era</w:t>
            </w:r>
          </w:p>
        </w:tc>
        <w:tc>
          <w:tcPr/>
          <w:p>
            <w:pPr>
              <w:pStyle w:val="Compact"/>
              <w:jc w:val="left"/>
            </w:pPr>
            <w:r>
              <w:t xml:space="preserve">Advantages</w:t>
            </w:r>
          </w:p>
        </w:tc>
        <w:tc>
          <w:tcPr/>
          <w:p>
            <w:pPr>
              <w:pStyle w:val="Compact"/>
              <w:jc w:val="left"/>
            </w:pPr>
            <w:r>
              <w:t xml:space="preserve">Limitations</w:t>
            </w:r>
          </w:p>
        </w:tc>
        <w:tc>
          <w:tcPr/>
          <w:p>
            <w:pPr>
              <w:pStyle w:val="Compact"/>
              <w:jc w:val="left"/>
            </w:pPr>
            <w:r>
              <w:t xml:space="preserve">Current Status</w:t>
            </w:r>
          </w:p>
        </w:tc>
      </w:tr>
      <w:tr>
        <w:tc>
          <w:tcPr/>
          <w:p>
            <w:pPr>
              <w:pStyle w:val="Compact"/>
              <w:jc w:val="left"/>
            </w:pPr>
            <w:r>
              <w:rPr>
                <w:b/>
                <w:bCs/>
              </w:rPr>
              <w:t xml:space="preserve">Nutrient-based</w:t>
            </w:r>
            <w:r>
              <w:t xml:space="preserve"> </w:t>
            </w:r>
            <w:r>
              <w:t xml:space="preserve">(RDAs for individual nutrients)</w:t>
            </w:r>
          </w:p>
        </w:tc>
        <w:tc>
          <w:tcPr/>
          <w:p>
            <w:pPr>
              <w:pStyle w:val="Compact"/>
              <w:jc w:val="left"/>
            </w:pPr>
            <w:r>
              <w:t xml:space="preserve">1940s–1990s</w:t>
            </w:r>
          </w:p>
        </w:tc>
        <w:tc>
          <w:tcPr/>
          <w:p>
            <w:pPr>
              <w:pStyle w:val="Compact"/>
              <w:jc w:val="left"/>
            </w:pPr>
            <w:r>
              <w:t xml:space="preserve">Precise; measurable; deficiency prevention</w:t>
            </w:r>
          </w:p>
        </w:tc>
        <w:tc>
          <w:tcPr/>
          <w:p>
            <w:pPr>
              <w:pStyle w:val="Compact"/>
              <w:jc w:val="left"/>
            </w:pPr>
            <w:r>
              <w:t xml:space="preserve">Reductionist; ignores food matrix effects; doesn’t capture interactions; impractical for consumers</w:t>
            </w:r>
          </w:p>
        </w:tc>
        <w:tc>
          <w:tcPr/>
          <w:p>
            <w:pPr>
              <w:pStyle w:val="Compact"/>
            </w:pPr>
          </w:p>
        </w:tc>
      </w:tr>
      <w:tr>
        <w:tc>
          <w:tcPr/>
          <w:p>
            <w:pPr>
              <w:pStyle w:val="Compact"/>
              <w:jc w:val="left"/>
            </w:pPr>
            <w:r>
              <w:rPr>
                <w:b/>
                <w:bCs/>
              </w:rPr>
              <w:t xml:space="preserve">Food-based dietary guidelines</w:t>
            </w:r>
            <w:r>
              <w:t xml:space="preserve"> </w:t>
            </w:r>
            <w:r>
              <w:t xml:space="preserve">(food groups, patterns)</w:t>
            </w:r>
          </w:p>
        </w:tc>
        <w:tc>
          <w:tcPr/>
          <w:p>
            <w:pPr>
              <w:pStyle w:val="Compact"/>
              <w:jc w:val="left"/>
            </w:pPr>
            <w:r>
              <w:t xml:space="preserve">1990s–present</w:t>
            </w:r>
          </w:p>
        </w:tc>
        <w:tc>
          <w:tcPr/>
          <w:p>
            <w:pPr>
              <w:pStyle w:val="Compact"/>
              <w:jc w:val="left"/>
            </w:pPr>
            <w:r>
              <w:t xml:space="preserve">Practical; culturally adaptable; captures food matrix; consumer-friendly</w:t>
            </w:r>
          </w:p>
        </w:tc>
        <w:tc>
          <w:tcPr/>
          <w:p>
            <w:pPr>
              <w:pStyle w:val="Compact"/>
              <w:jc w:val="left"/>
            </w:pPr>
            <w:r>
              <w:t xml:space="preserve">Less precise; requires food composition knowledge; may not address specific medical needs</w:t>
            </w:r>
          </w:p>
        </w:tc>
        <w:tc>
          <w:tcPr/>
          <w:p>
            <w:pPr>
              <w:pStyle w:val="Compact"/>
            </w:pPr>
          </w:p>
        </w:tc>
      </w:tr>
      <w:tr>
        <w:tc>
          <w:tcPr/>
          <w:p>
            <w:pPr>
              <w:pStyle w:val="Compact"/>
              <w:jc w:val="left"/>
            </w:pPr>
            <w:r>
              <w:rPr>
                <w:b/>
                <w:bCs/>
              </w:rPr>
              <w:t xml:space="preserve">Dietary pattern approach</w:t>
            </w:r>
            <w:r>
              <w:t xml:space="preserve"> </w:t>
            </w:r>
            <w:r>
              <w:t xml:space="preserve">(Mediterranean, DASH, etc.)</w:t>
            </w:r>
          </w:p>
        </w:tc>
        <w:tc>
          <w:tcPr/>
          <w:p>
            <w:pPr>
              <w:pStyle w:val="Compact"/>
              <w:jc w:val="left"/>
            </w:pPr>
            <w:r>
              <w:t xml:space="preserve">2000s–present</w:t>
            </w:r>
          </w:p>
        </w:tc>
        <w:tc>
          <w:tcPr/>
          <w:p>
            <w:pPr>
              <w:pStyle w:val="Compact"/>
              <w:jc w:val="left"/>
            </w:pPr>
            <w:r>
              <w:t xml:space="preserve">Holistic; evidence-based for outcomes; captures lifestyle context</w:t>
            </w:r>
          </w:p>
        </w:tc>
        <w:tc>
          <w:tcPr/>
          <w:p>
            <w:pPr>
              <w:pStyle w:val="Compact"/>
              <w:jc w:val="left"/>
            </w:pPr>
            <w:r>
              <w:t xml:space="preserve">May not transfer across cultures; requires adaptation; less specific for clinical conditions</w:t>
            </w:r>
          </w:p>
        </w:tc>
        <w:tc>
          <w:tcPr/>
          <w:p>
            <w:pPr>
              <w:pStyle w:val="Compact"/>
            </w:pPr>
          </w:p>
        </w:tc>
      </w:tr>
      <w:tr>
        <w:tc>
          <w:tcPr/>
          <w:p>
            <w:pPr>
              <w:pStyle w:val="Compact"/>
              <w:jc w:val="left"/>
            </w:pPr>
            <w:r>
              <w:rPr>
                <w:b/>
                <w:bCs/>
              </w:rPr>
              <w:t xml:space="preserve">Personalized/precision nutrition</w:t>
            </w:r>
          </w:p>
        </w:tc>
        <w:tc>
          <w:tcPr/>
          <w:p>
            <w:pPr>
              <w:pStyle w:val="Compact"/>
              <w:jc w:val="left"/>
            </w:pPr>
            <w:r>
              <w:t xml:space="preserve">Emerging</w:t>
            </w:r>
          </w:p>
        </w:tc>
        <w:tc>
          <w:tcPr/>
          <w:p>
            <w:pPr>
              <w:pStyle w:val="Compact"/>
              <w:jc w:val="left"/>
            </w:pPr>
            <w:r>
              <w:t xml:space="preserve">Individual optimization; genetic and metabolic tailoring</w:t>
            </w:r>
          </w:p>
        </w:tc>
        <w:tc>
          <w:tcPr/>
          <w:p>
            <w:pPr>
              <w:pStyle w:val="Compact"/>
              <w:jc w:val="left"/>
            </w:pPr>
            <w:r>
              <w:t xml:space="preserve">Expensive; complex; evidence base developing; equity concerns</w:t>
            </w:r>
          </w:p>
        </w:tc>
        <w:tc>
          <w:tcPr/>
          <w:p>
            <w:pPr>
              <w:pStyle w:val="Compact"/>
            </w:pPr>
          </w:p>
        </w:tc>
      </w:tr>
    </w:tbl>
    <w:p>
      <w:pPr>
        <w:pStyle w:val="a0"/>
      </w:pPr>
      <w:r>
        <w:rPr>
          <w:b/>
          <w:bCs/>
        </w:rPr>
        <w:t xml:space="preserve">Current best practice combines approaches</w:t>
      </w:r>
      <w:r>
        <w:t xml:space="preserve">:</w:t>
      </w:r>
      <w:r>
        <w:t xml:space="preserve"> </w:t>
      </w:r>
      <w:r>
        <w:rPr>
          <w:b/>
          <w:bCs/>
        </w:rPr>
        <w:t xml:space="preserve">food-based guidelines for general populations</w:t>
      </w:r>
      <w:r>
        <w:t xml:space="preserve">;</w:t>
      </w:r>
      <w:r>
        <w:t xml:space="preserve"> </w:t>
      </w:r>
      <w:r>
        <w:rPr>
          <w:b/>
          <w:bCs/>
        </w:rPr>
        <w:t xml:space="preserve">dietary pattern recommendations for specific outcomes</w:t>
      </w:r>
      <w:r>
        <w:t xml:space="preserve">; and</w:t>
      </w:r>
      <w:r>
        <w:t xml:space="preserve"> </w:t>
      </w:r>
      <w:r>
        <w:rPr>
          <w:b/>
          <w:bCs/>
        </w:rPr>
        <w:t xml:space="preserve">personalized approaches for high-risk individuals or those with specific conditions</w:t>
      </w:r>
      <w:r>
        <w:t xml:space="preserve">.</w:t>
      </w:r>
    </w:p>
    <w:bookmarkEnd w:id="202"/>
    <w:bookmarkStart w:id="203" w:name="Xe9bbfa7af9f8e37853d1d8ca1c70297326feeac"/>
    <w:p>
      <w:pPr>
        <w:pStyle w:val="4"/>
      </w:pPr>
      <w:r>
        <w:t xml:space="preserve">9.1.3 Digital Health Tools and Dietary Self-Monitoring</w:t>
      </w:r>
    </w:p>
    <w:p>
      <w:pPr>
        <w:pStyle w:val="FirstParagraph"/>
      </w:pPr>
      <w:r>
        <w:rPr>
          <w:b/>
          <w:bCs/>
        </w:rPr>
        <w:t xml:space="preserve">Technology enables new approaches to dietary behavior change</w:t>
      </w:r>
      <w:r>
        <w:t xml:space="preserve">:</w:t>
      </w:r>
    </w:p>
    <w:tbl>
      <w:tblPr>
        <w:tblStyle w:val="Table"/>
        <w:tblW w:type="pct" w:w="5000"/>
        <w:jc w:val="left"/>
        <w:tblLayout w:type="fixed"/>
        <w:tblLook w:firstRow="1" w:lastRow="0" w:firstColumn="0" w:lastColumn="0" w:noHBand="0" w:noVBand="0" w:val="0020"/>
      </w:tblPr>
      <w:tblGrid>
        <w:gridCol w:w="1775"/>
        <w:gridCol w:w="1365"/>
        <w:gridCol w:w="3004"/>
        <w:gridCol w:w="1775"/>
      </w:tblGrid>
      <w:tr>
        <w:trPr>
          <w:tblHeader w:val="on"/>
        </w:trPr>
        <w:tc>
          <w:tcPr/>
          <w:p>
            <w:pPr>
              <w:pStyle w:val="Compact"/>
              <w:jc w:val="left"/>
            </w:pPr>
            <w:r>
              <w:t xml:space="preserve">Tool Category</w:t>
            </w:r>
          </w:p>
        </w:tc>
        <w:tc>
          <w:tcPr/>
          <w:p>
            <w:pPr>
              <w:pStyle w:val="Compact"/>
              <w:jc w:val="left"/>
            </w:pPr>
            <w:r>
              <w:t xml:space="preserve">Examples</w:t>
            </w:r>
          </w:p>
        </w:tc>
        <w:tc>
          <w:tcPr/>
          <w:p>
            <w:pPr>
              <w:pStyle w:val="Compact"/>
              <w:jc w:val="left"/>
            </w:pPr>
            <w:r>
              <w:t xml:space="preserve">Evidence for Efficacy</w:t>
            </w:r>
          </w:p>
        </w:tc>
        <w:tc>
          <w:tcPr/>
          <w:p>
            <w:pPr>
              <w:pStyle w:val="Compact"/>
              <w:jc w:val="left"/>
            </w:pPr>
            <w:r>
              <w:t xml:space="preserve">Limitations</w:t>
            </w:r>
          </w:p>
        </w:tc>
      </w:tr>
      <w:tr>
        <w:tc>
          <w:tcPr/>
          <w:p>
            <w:pPr>
              <w:pStyle w:val="Compact"/>
              <w:jc w:val="left"/>
            </w:pPr>
            <w:r>
              <w:rPr>
                <w:b/>
                <w:bCs/>
              </w:rPr>
              <w:t xml:space="preserve">Food tracking apps</w:t>
            </w:r>
          </w:p>
        </w:tc>
        <w:tc>
          <w:tcPr/>
          <w:p>
            <w:pPr>
              <w:pStyle w:val="Compact"/>
              <w:jc w:val="left"/>
            </w:pPr>
            <w:r>
              <w:t xml:space="preserve">MyFitnessPal, Cronometer, Lose It!</w:t>
            </w:r>
          </w:p>
        </w:tc>
        <w:tc>
          <w:tcPr/>
          <w:p>
            <w:pPr>
              <w:pStyle w:val="Compact"/>
              <w:jc w:val="left"/>
            </w:pPr>
            <w:r>
              <w:t xml:space="preserve">Modest weight loss support; increased awareness; accountability burden; high attrition</w:t>
            </w:r>
          </w:p>
        </w:tc>
        <w:tc>
          <w:tcPr/>
          <w:p>
            <w:pPr>
              <w:pStyle w:val="Compact"/>
            </w:pPr>
          </w:p>
        </w:tc>
      </w:tr>
      <w:tr>
        <w:tc>
          <w:tcPr/>
          <w:p>
            <w:pPr>
              <w:pStyle w:val="Compact"/>
              <w:jc w:val="left"/>
            </w:pPr>
            <w:r>
              <w:rPr>
                <w:b/>
                <w:bCs/>
              </w:rPr>
              <w:t xml:space="preserve">AI-powered coaching</w:t>
            </w:r>
          </w:p>
        </w:tc>
        <w:tc>
          <w:tcPr/>
          <w:p>
            <w:pPr>
              <w:pStyle w:val="Compact"/>
              <w:jc w:val="left"/>
            </w:pPr>
            <w:r>
              <w:t xml:space="preserve">Noom, Lark, personalized feedback</w:t>
            </w:r>
          </w:p>
        </w:tc>
        <w:tc>
          <w:tcPr/>
          <w:p>
            <w:pPr>
              <w:pStyle w:val="Compact"/>
              <w:jc w:val="left"/>
            </w:pPr>
            <w:r>
              <w:t xml:space="preserve">Some trials show benefit; scalability; 24/7 availability</w:t>
            </w:r>
          </w:p>
        </w:tc>
        <w:tc>
          <w:tcPr/>
          <w:p>
            <w:pPr>
              <w:pStyle w:val="Compact"/>
              <w:jc w:val="left"/>
            </w:pPr>
            <w:r>
              <w:t xml:space="preserve">Variable quality; impersonal; privacy concerns</w:t>
            </w:r>
          </w:p>
        </w:tc>
      </w:tr>
      <w:tr>
        <w:tc>
          <w:tcPr/>
          <w:p>
            <w:pPr>
              <w:pStyle w:val="Compact"/>
              <w:jc w:val="left"/>
            </w:pPr>
            <w:r>
              <w:rPr>
                <w:b/>
                <w:bCs/>
              </w:rPr>
              <w:t xml:space="preserve">Smart kitchen devices</w:t>
            </w:r>
          </w:p>
        </w:tc>
        <w:tc>
          <w:tcPr/>
          <w:p>
            <w:pPr>
              <w:pStyle w:val="Compact"/>
              <w:jc w:val="left"/>
            </w:pPr>
            <w:r>
              <w:t xml:space="preserve">Smart scales, recipe apps, meal planners</w:t>
            </w:r>
          </w:p>
        </w:tc>
        <w:tc>
          <w:tcPr/>
          <w:p>
            <w:pPr>
              <w:pStyle w:val="Compact"/>
              <w:jc w:val="left"/>
            </w:pPr>
            <w:r>
              <w:t xml:space="preserve">Convenience; portion control; recipe modification</w:t>
            </w:r>
          </w:p>
        </w:tc>
        <w:tc>
          <w:tcPr/>
          <w:p>
            <w:pPr>
              <w:pStyle w:val="Compact"/>
              <w:jc w:val="left"/>
            </w:pPr>
            <w:r>
              <w:t xml:space="preserve">Cost; learning curve; not addressing root behaviors</w:t>
            </w:r>
          </w:p>
        </w:tc>
      </w:tr>
      <w:tr>
        <w:tc>
          <w:tcPr/>
          <w:p>
            <w:pPr>
              <w:pStyle w:val="Compact"/>
              <w:jc w:val="left"/>
            </w:pPr>
            <w:r>
              <w:rPr>
                <w:b/>
                <w:bCs/>
              </w:rPr>
              <w:t xml:space="preserve">Continuous glucose monitors (CGM)</w:t>
            </w:r>
          </w:p>
        </w:tc>
        <w:tc>
          <w:tcPr/>
          <w:p>
            <w:pPr>
              <w:pStyle w:val="Compact"/>
              <w:jc w:val="left"/>
            </w:pPr>
            <w:r>
              <w:t xml:space="preserve">FreeStyle Libre, Dexcom for non-diabetics</w:t>
            </w:r>
          </w:p>
        </w:tc>
        <w:tc>
          <w:tcPr/>
          <w:p>
            <w:pPr>
              <w:pStyle w:val="Compact"/>
              <w:jc w:val="left"/>
            </w:pPr>
            <w:r>
              <w:t xml:space="preserve">Real-time feedback; personalized glycemic learning; motivation</w:t>
            </w:r>
          </w:p>
        </w:tc>
        <w:tc>
          <w:tcPr/>
          <w:p>
            <w:pPr>
              <w:pStyle w:val="Compact"/>
              <w:jc w:val="left"/>
            </w:pPr>
            <w:r>
              <w:t xml:space="preserve">Cost; skin irritation; anxiety from data; medical oversight questions</w:t>
            </w:r>
          </w:p>
        </w:tc>
      </w:tr>
      <w:tr>
        <w:tc>
          <w:tcPr/>
          <w:p>
            <w:pPr>
              <w:pStyle w:val="Compact"/>
              <w:jc w:val="left"/>
            </w:pPr>
            <w:r>
              <w:rPr>
                <w:b/>
                <w:bCs/>
              </w:rPr>
              <w:t xml:space="preserve">Virtual reality</w:t>
            </w:r>
          </w:p>
        </w:tc>
        <w:tc>
          <w:tcPr/>
          <w:p>
            <w:pPr>
              <w:pStyle w:val="Compact"/>
              <w:jc w:val="left"/>
            </w:pPr>
            <w:r>
              <w:t xml:space="preserve">Grocery store simulations, cooking training</w:t>
            </w:r>
          </w:p>
        </w:tc>
        <w:tc>
          <w:tcPr/>
          <w:p>
            <w:pPr>
              <w:pStyle w:val="Compact"/>
              <w:jc w:val="left"/>
            </w:pPr>
            <w:r>
              <w:t xml:space="preserve">Emerging; exposure therapy for food phobias; skill building</w:t>
            </w:r>
          </w:p>
        </w:tc>
        <w:tc>
          <w:tcPr/>
          <w:p>
            <w:pPr>
              <w:pStyle w:val="Compact"/>
              <w:jc w:val="left"/>
            </w:pPr>
            <w:r>
              <w:t xml:space="preserve">Early stage; accessibility; evidence limited</w:t>
            </w:r>
          </w:p>
        </w:tc>
      </w:tr>
    </w:tbl>
    <w:p>
      <w:pPr>
        <w:pStyle w:val="a0"/>
      </w:pPr>
      <w:r>
        <w:rPr>
          <w:b/>
          <w:bCs/>
        </w:rPr>
        <w:t xml:space="preserve">Digital tools are most effective when combined with human support</w:t>
      </w:r>
      <w:r>
        <w:t xml:space="preserve"> </w:t>
      </w:r>
      <w:r>
        <w:t xml:space="preserve">and</w:t>
      </w:r>
      <w:r>
        <w:t xml:space="preserve"> </w:t>
      </w:r>
      <w:r>
        <w:rPr>
          <w:b/>
          <w:bCs/>
        </w:rPr>
        <w:t xml:space="preserve">integrated into comprehensive behavior change programs</w:t>
      </w:r>
      <w:r>
        <w:t xml:space="preserve">.</w:t>
      </w:r>
    </w:p>
    <w:bookmarkEnd w:id="203"/>
    <w:bookmarkEnd w:id="204"/>
    <w:bookmarkStart w:id="208" w:name="X9db6b3998eb9aafbcf87c66f39247529483c383"/>
    <w:p>
      <w:pPr>
        <w:pStyle w:val="3"/>
      </w:pPr>
      <w:r>
        <w:t xml:space="preserve">9.2 Special Considerations for Vulnerable Groups</w:t>
      </w:r>
    </w:p>
    <w:bookmarkStart w:id="205" w:name="X24ac7f9a3082a73306e476e1ff7c26c848f7506"/>
    <w:p>
      <w:pPr>
        <w:pStyle w:val="4"/>
      </w:pPr>
      <w:r>
        <w:t xml:space="preserve">9.2.1 Food Allergies and Intolerances: Elimination and Reintroduction Protocols</w:t>
      </w:r>
    </w:p>
    <w:p>
      <w:pPr>
        <w:pStyle w:val="FirstParagraph"/>
      </w:pPr>
      <w:r>
        <w:rPr>
          <w:b/>
          <w:bCs/>
        </w:rPr>
        <w:t xml:space="preserve">Adverse food reactions require structured management</w:t>
      </w:r>
      <w:r>
        <w:t xml:space="preserve">:</w:t>
      </w:r>
    </w:p>
    <w:tbl>
      <w:tblPr>
        <w:tblStyle w:val="Table"/>
        <w:tblW w:type="pct" w:w="5000"/>
        <w:jc w:val="left"/>
        <w:tblLayout w:type="fixed"/>
        <w:tblLook w:firstRow="1" w:lastRow="0" w:firstColumn="0" w:lastColumn="0" w:noHBand="0" w:noVBand="0" w:val="0020"/>
      </w:tblPr>
      <w:tblGrid>
        <w:gridCol w:w="1552"/>
        <w:gridCol w:w="1708"/>
        <w:gridCol w:w="2950"/>
        <w:gridCol w:w="1708"/>
      </w:tblGrid>
      <w:tr>
        <w:trPr>
          <w:tblHeader w:val="on"/>
        </w:trPr>
        <w:tc>
          <w:tcPr/>
          <w:p>
            <w:pPr>
              <w:pStyle w:val="Compact"/>
              <w:jc w:val="left"/>
            </w:pPr>
            <w:r>
              <w:t xml:space="preserve">Condition</w:t>
            </w:r>
          </w:p>
        </w:tc>
        <w:tc>
          <w:tcPr/>
          <w:p>
            <w:pPr>
              <w:pStyle w:val="Compact"/>
              <w:jc w:val="left"/>
            </w:pPr>
            <w:r>
              <w:t xml:space="preserve">Prevalence</w:t>
            </w:r>
          </w:p>
        </w:tc>
        <w:tc>
          <w:tcPr/>
          <w:p>
            <w:pPr>
              <w:pStyle w:val="Compact"/>
              <w:jc w:val="left"/>
            </w:pPr>
            <w:r>
              <w:t xml:space="preserve">Diagnostic Approach</w:t>
            </w:r>
          </w:p>
        </w:tc>
        <w:tc>
          <w:tcPr/>
          <w:p>
            <w:pPr>
              <w:pStyle w:val="Compact"/>
              <w:jc w:val="left"/>
            </w:pPr>
            <w:r>
              <w:t xml:space="preserve">Management</w:t>
            </w:r>
          </w:p>
        </w:tc>
      </w:tr>
      <w:tr>
        <w:tc>
          <w:tcPr/>
          <w:p>
            <w:pPr>
              <w:pStyle w:val="Compact"/>
              <w:jc w:val="left"/>
            </w:pPr>
            <w:r>
              <w:rPr>
                <w:b/>
                <w:bCs/>
              </w:rPr>
              <w:t xml:space="preserve">IgE-mediated food allergy</w:t>
            </w:r>
            <w:r>
              <w:t xml:space="preserve"> </w:t>
            </w:r>
            <w:r>
              <w:t xml:space="preserve">(peanut, tree nut, milk, egg, wheat, soy, fish, shellfish)</w:t>
            </w:r>
          </w:p>
        </w:tc>
        <w:tc>
          <w:tcPr/>
          <w:p>
            <w:pPr>
              <w:pStyle w:val="Compact"/>
              <w:jc w:val="left"/>
            </w:pPr>
            <w:r>
              <w:t xml:space="preserve">5–10% children; 2–4% adults</w:t>
            </w:r>
          </w:p>
        </w:tc>
        <w:tc>
          <w:tcPr/>
          <w:p>
            <w:pPr>
              <w:pStyle w:val="Compact"/>
              <w:jc w:val="left"/>
            </w:pPr>
            <w:r>
              <w:t xml:space="preserve">Skin prick test; specific IgE; oral food challenge (gold standard)</w:t>
            </w:r>
          </w:p>
        </w:tc>
        <w:tc>
          <w:tcPr/>
          <w:p>
            <w:pPr>
              <w:pStyle w:val="Compact"/>
              <w:jc w:val="left"/>
            </w:pPr>
            <w:r>
              <w:t xml:space="preserve">Strict avoidance; epinephrine for anaphylaxis; emerging immunotherapy</w:t>
            </w:r>
          </w:p>
        </w:tc>
      </w:tr>
      <w:tr>
        <w:tc>
          <w:tcPr/>
          <w:p>
            <w:pPr>
              <w:pStyle w:val="Compact"/>
              <w:jc w:val="left"/>
            </w:pPr>
            <w:r>
              <w:rPr>
                <w:b/>
                <w:bCs/>
              </w:rPr>
              <w:t xml:space="preserve">Non-IgE mediated</w:t>
            </w:r>
            <w:r>
              <w:t xml:space="preserve"> </w:t>
            </w:r>
            <w:r>
              <w:t xml:space="preserve">(FPIES, eosinophilic esophagitis, allergic proctocolitis)</w:t>
            </w:r>
          </w:p>
        </w:tc>
        <w:tc>
          <w:tcPr/>
          <w:p>
            <w:pPr>
              <w:pStyle w:val="Compact"/>
              <w:jc w:val="left"/>
            </w:pPr>
            <w:r>
              <w:t xml:space="preserve">Less common</w:t>
            </w:r>
          </w:p>
        </w:tc>
        <w:tc>
          <w:tcPr/>
          <w:p>
            <w:pPr>
              <w:pStyle w:val="Compact"/>
              <w:jc w:val="left"/>
            </w:pPr>
            <w:r>
              <w:t xml:space="preserve">Elimination and rechallenge; endoscopy with biopsy</w:t>
            </w:r>
          </w:p>
        </w:tc>
        <w:tc>
          <w:tcPr/>
          <w:p>
            <w:pPr>
              <w:pStyle w:val="Compact"/>
              <w:jc w:val="left"/>
            </w:pPr>
            <w:r>
              <w:t xml:space="preserve">Elimination of trigger foods; often resolves in childhood</w:t>
            </w:r>
          </w:p>
        </w:tc>
      </w:tr>
      <w:tr>
        <w:tc>
          <w:tcPr/>
          <w:p>
            <w:pPr>
              <w:pStyle w:val="Compact"/>
              <w:jc w:val="left"/>
            </w:pPr>
            <w:r>
              <w:rPr>
                <w:b/>
                <w:bCs/>
              </w:rPr>
              <w:t xml:space="preserve">Celiac disease</w:t>
            </w:r>
          </w:p>
        </w:tc>
        <w:tc>
          <w:tcPr/>
          <w:p>
            <w:pPr>
              <w:pStyle w:val="Compact"/>
              <w:jc w:val="left"/>
            </w:pPr>
            <w:r>
              <w:t xml:space="preserve">~1%</w:t>
            </w:r>
          </w:p>
        </w:tc>
        <w:tc>
          <w:tcPr/>
          <w:p>
            <w:pPr>
              <w:pStyle w:val="Compact"/>
              <w:jc w:val="left"/>
            </w:pPr>
            <w:r>
              <w:t xml:space="preserve">Serology (tTG-IgA); HLA testing; duodenal biopsy</w:t>
            </w:r>
          </w:p>
        </w:tc>
        <w:tc>
          <w:tcPr/>
          <w:p>
            <w:pPr>
              <w:pStyle w:val="Compact"/>
              <w:jc w:val="left"/>
            </w:pPr>
            <w:r>
              <w:t xml:space="preserve">Lifelong gluten-free diet</w:t>
            </w:r>
          </w:p>
        </w:tc>
      </w:tr>
      <w:tr>
        <w:tc>
          <w:tcPr/>
          <w:p>
            <w:pPr>
              <w:pStyle w:val="Compact"/>
              <w:jc w:val="left"/>
            </w:pPr>
            <w:r>
              <w:rPr>
                <w:b/>
                <w:bCs/>
              </w:rPr>
              <w:t xml:space="preserve">Non-celiac gluten sensitivity</w:t>
            </w:r>
          </w:p>
        </w:tc>
        <w:tc>
          <w:tcPr/>
          <w:p>
            <w:pPr>
              <w:pStyle w:val="Compact"/>
              <w:jc w:val="left"/>
            </w:pPr>
            <w:r>
              <w:t xml:space="preserve">0.5–13% (uncertain)</w:t>
            </w:r>
          </w:p>
        </w:tc>
        <w:tc>
          <w:tcPr/>
          <w:p>
            <w:pPr>
              <w:pStyle w:val="Compact"/>
              <w:jc w:val="left"/>
            </w:pPr>
            <w:r>
              <w:t xml:space="preserve">Exclusion of celiac and wheat allergy; symptom response to gluten challenge</w:t>
            </w:r>
          </w:p>
        </w:tc>
        <w:tc>
          <w:tcPr/>
          <w:p>
            <w:pPr>
              <w:pStyle w:val="Compact"/>
              <w:jc w:val="left"/>
            </w:pPr>
            <w:r>
              <w:t xml:space="preserve">Gluten-free or low-FODMAP trial; often can tolerate some gluten</w:t>
            </w:r>
          </w:p>
        </w:tc>
      </w:tr>
      <w:tr>
        <w:tc>
          <w:tcPr/>
          <w:p>
            <w:pPr>
              <w:pStyle w:val="Compact"/>
              <w:jc w:val="left"/>
            </w:pPr>
            <w:r>
              <w:rPr>
                <w:b/>
                <w:bCs/>
              </w:rPr>
              <w:t xml:space="preserve">Lactose intolerance</w:t>
            </w:r>
          </w:p>
        </w:tc>
        <w:tc>
          <w:tcPr/>
          <w:p>
            <w:pPr>
              <w:pStyle w:val="Compact"/>
              <w:jc w:val="left"/>
            </w:pPr>
            <w:r>
              <w:t xml:space="preserve">65–70% global adult population</w:t>
            </w:r>
          </w:p>
        </w:tc>
        <w:tc>
          <w:tcPr/>
          <w:p>
            <w:pPr>
              <w:pStyle w:val="Compact"/>
              <w:jc w:val="left"/>
            </w:pPr>
            <w:r>
              <w:t xml:space="preserve">Hydrogen breath test; symptom response to lactose challenge</w:t>
            </w:r>
          </w:p>
        </w:tc>
        <w:tc>
          <w:tcPr/>
          <w:p>
            <w:pPr>
              <w:pStyle w:val="Compact"/>
              <w:jc w:val="left"/>
            </w:pPr>
            <w:r>
              <w:t xml:space="preserve">Lactose reduction or avoidance; lactase enzyme; fermented dairy</w:t>
            </w:r>
          </w:p>
        </w:tc>
      </w:tr>
      <w:tr>
        <w:tc>
          <w:tcPr/>
          <w:p>
            <w:pPr>
              <w:pStyle w:val="Compact"/>
              <w:jc w:val="left"/>
            </w:pPr>
            <w:r>
              <w:rPr>
                <w:b/>
                <w:bCs/>
              </w:rPr>
              <w:t xml:space="preserve">Histamine intolerance</w:t>
            </w:r>
          </w:p>
        </w:tc>
        <w:tc>
          <w:tcPr/>
          <w:p>
            <w:pPr>
              <w:pStyle w:val="Compact"/>
              <w:jc w:val="left"/>
            </w:pPr>
            <w:r>
              <w:t xml:space="preserve">Uncertain; likely underrecognized</w:t>
            </w:r>
          </w:p>
        </w:tc>
        <w:tc>
          <w:tcPr/>
          <w:p>
            <w:pPr>
              <w:pStyle w:val="Compact"/>
              <w:jc w:val="left"/>
            </w:pPr>
            <w:r>
              <w:t xml:space="preserve">Symptom history; response to low-histamine diet; DAO activity measurement</w:t>
            </w:r>
          </w:p>
        </w:tc>
        <w:tc>
          <w:tcPr/>
          <w:p>
            <w:pPr>
              <w:pStyle w:val="Compact"/>
              <w:jc w:val="left"/>
            </w:pPr>
            <w:r>
              <w:t xml:space="preserve">Low-histamine diet; DAO supplementation; antihistamines</w:t>
            </w:r>
          </w:p>
        </w:tc>
      </w:tr>
    </w:tbl>
    <w:p>
      <w:pPr>
        <w:pStyle w:val="a0"/>
      </w:pPr>
      <w:r>
        <w:rPr>
          <w:b/>
          <w:bCs/>
        </w:rPr>
        <w:t xml:space="preserve">Oral immunotherapy for peanut allergy</w:t>
      </w:r>
      <w:r>
        <w:t xml:space="preserve"> </w:t>
      </w:r>
      <w:r>
        <w:t xml:space="preserve">(Palforzia approved 2020) represents</w:t>
      </w:r>
      <w:r>
        <w:t xml:space="preserve"> </w:t>
      </w:r>
      <w:r>
        <w:rPr>
          <w:b/>
          <w:bCs/>
        </w:rPr>
        <w:t xml:space="preserve">breakthrough in treatment</w:t>
      </w:r>
      <w:r>
        <w:t xml:space="preserve">, transforming management from strict avoidance to</w:t>
      </w:r>
      <w:r>
        <w:t xml:space="preserve"> </w:t>
      </w:r>
      <w:r>
        <w:rPr>
          <w:b/>
          <w:bCs/>
        </w:rPr>
        <w:t xml:space="preserve">desensitization enabling protection against accidental exposure</w:t>
      </w:r>
      <w:r>
        <w:t xml:space="preserve">.</w:t>
      </w:r>
    </w:p>
    <w:bookmarkEnd w:id="205"/>
    <w:bookmarkStart w:id="206" w:name="Xc363ece18d624638383fd6f39a1a748a97eabe8"/>
    <w:p>
      <w:pPr>
        <w:pStyle w:val="4"/>
      </w:pPr>
      <w:r>
        <w:t xml:space="preserve">9.2.2 Eating Disorders: Nutritional Rehabilitation Approaches</w:t>
      </w:r>
    </w:p>
    <w:p>
      <w:pPr>
        <w:pStyle w:val="FirstParagraph"/>
      </w:pPr>
      <w:r>
        <w:rPr>
          <w:b/>
          <w:bCs/>
        </w:rPr>
        <w:t xml:space="preserve">Eating disorders require specialized nutritional management integrated with psychological care</w:t>
      </w:r>
      <w:r>
        <w:t xml:space="preserve">:</w:t>
      </w:r>
    </w:p>
    <w:tbl>
      <w:tblPr>
        <w:tblStyle w:val="Table"/>
        <w:tblW w:type="pct" w:w="5000"/>
        <w:jc w:val="left"/>
        <w:tblLayout w:type="fixed"/>
        <w:tblLook w:firstRow="1" w:lastRow="0" w:firstColumn="0" w:lastColumn="0" w:noHBand="0" w:noVBand="0" w:val="0020"/>
      </w:tblPr>
      <w:tblGrid>
        <w:gridCol w:w="1485"/>
        <w:gridCol w:w="3630"/>
        <w:gridCol w:w="1650"/>
        <w:gridCol w:w="1155"/>
      </w:tblGrid>
      <w:tr>
        <w:trPr>
          <w:tblHeader w:val="on"/>
        </w:trPr>
        <w:tc>
          <w:tcPr/>
          <w:p>
            <w:pPr>
              <w:pStyle w:val="Compact"/>
              <w:jc w:val="left"/>
            </w:pPr>
            <w:r>
              <w:t xml:space="preserve">Disorder</w:t>
            </w:r>
          </w:p>
        </w:tc>
        <w:tc>
          <w:tcPr/>
          <w:p>
            <w:pPr>
              <w:pStyle w:val="Compact"/>
              <w:jc w:val="left"/>
            </w:pPr>
            <w:r>
              <w:t xml:space="preserve">Nutritional Priorities</w:t>
            </w:r>
          </w:p>
        </w:tc>
        <w:tc>
          <w:tcPr/>
          <w:p>
            <w:pPr>
              <w:pStyle w:val="Compact"/>
              <w:jc w:val="left"/>
            </w:pPr>
            <w:r>
              <w:t xml:space="preserve">Approach</w:t>
            </w:r>
          </w:p>
        </w:tc>
        <w:tc>
          <w:tcPr/>
          <w:p>
            <w:pPr>
              <w:pStyle w:val="Compact"/>
              <w:jc w:val="left"/>
            </w:pPr>
            <w:r>
              <w:t xml:space="preserve">Risks</w:t>
            </w:r>
          </w:p>
        </w:tc>
      </w:tr>
      <w:tr>
        <w:tc>
          <w:tcPr/>
          <w:p>
            <w:pPr>
              <w:pStyle w:val="Compact"/>
              <w:jc w:val="left"/>
            </w:pPr>
            <w:r>
              <w:rPr>
                <w:b/>
                <w:bCs/>
              </w:rPr>
              <w:t xml:space="preserve">Anorexia nervosa</w:t>
            </w:r>
          </w:p>
        </w:tc>
        <w:tc>
          <w:tcPr/>
          <w:p>
            <w:pPr>
              <w:pStyle w:val="Compact"/>
              <w:jc w:val="left"/>
            </w:pPr>
            <w:r>
              <w:t xml:space="preserve">Weight restoration; metabolic recovery; reversing malnutrition</w:t>
            </w:r>
          </w:p>
        </w:tc>
        <w:tc>
          <w:tcPr/>
          <w:p>
            <w:pPr>
              <w:pStyle w:val="Compact"/>
              <w:jc w:val="left"/>
            </w:pPr>
            <w:r>
              <w:t xml:space="preserve">Structured meal plans; 1,000–3,500+ kcal progression; supervision; family-based treatment for adolescents</w:t>
            </w:r>
          </w:p>
        </w:tc>
        <w:tc>
          <w:tcPr/>
          <w:p>
            <w:pPr>
              <w:pStyle w:val="Compact"/>
              <w:jc w:val="left"/>
            </w:pPr>
            <w:r>
              <w:t xml:space="preserve">Refeeding syndrome; gastric dilation; psychological resistance</w:t>
            </w:r>
          </w:p>
        </w:tc>
      </w:tr>
      <w:tr>
        <w:tc>
          <w:tcPr/>
          <w:p>
            <w:pPr>
              <w:pStyle w:val="Compact"/>
              <w:jc w:val="left"/>
            </w:pPr>
            <w:r>
              <w:rPr>
                <w:b/>
                <w:bCs/>
              </w:rPr>
              <w:t xml:space="preserve">Bulimia nervosa</w:t>
            </w:r>
          </w:p>
        </w:tc>
        <w:tc>
          <w:tcPr/>
          <w:p>
            <w:pPr>
              <w:pStyle w:val="Compact"/>
              <w:jc w:val="left"/>
            </w:pPr>
            <w:r>
              <w:t xml:space="preserve">Stabilizing eating patterns; reducing binge-purge cycles; nutritional adequacy</w:t>
            </w:r>
          </w:p>
        </w:tc>
        <w:tc>
          <w:tcPr/>
          <w:p>
            <w:pPr>
              <w:pStyle w:val="Compact"/>
              <w:jc w:val="left"/>
            </w:pPr>
            <w:r>
              <w:t xml:space="preserve">Regular, planned meals; moderate restriction avoidance; cognitive-behavioral therapy integration</w:t>
            </w:r>
          </w:p>
        </w:tc>
        <w:tc>
          <w:tcPr/>
          <w:p>
            <w:pPr>
              <w:pStyle w:val="Compact"/>
              <w:jc w:val="left"/>
            </w:pPr>
            <w:r>
              <w:t xml:space="preserve">Electrolyte disturbances; dental erosion; esophageal injury</w:t>
            </w:r>
          </w:p>
        </w:tc>
      </w:tr>
      <w:tr>
        <w:tc>
          <w:tcPr/>
          <w:p>
            <w:pPr>
              <w:pStyle w:val="Compact"/>
              <w:jc w:val="left"/>
            </w:pPr>
            <w:r>
              <w:rPr>
                <w:b/>
                <w:bCs/>
              </w:rPr>
              <w:t xml:space="preserve">Binge eating disorder</w:t>
            </w:r>
          </w:p>
        </w:tc>
        <w:tc>
          <w:tcPr/>
          <w:p>
            <w:pPr>
              <w:pStyle w:val="Compact"/>
              <w:jc w:val="left"/>
            </w:pPr>
            <w:r>
              <w:t xml:space="preserve">Reducing binge episodes; weight management if indicated; addressing emotional eating</w:t>
            </w:r>
          </w:p>
        </w:tc>
        <w:tc>
          <w:tcPr/>
          <w:p>
            <w:pPr>
              <w:pStyle w:val="Compact"/>
              <w:jc w:val="left"/>
            </w:pPr>
            <w:r>
              <w:t xml:space="preserve">Structured eating; mindfulness; no restrictive dieting; lisdexamfetamine approved</w:t>
            </w:r>
          </w:p>
        </w:tc>
        <w:tc>
          <w:tcPr/>
          <w:p>
            <w:pPr>
              <w:pStyle w:val="Compact"/>
              <w:jc w:val="left"/>
            </w:pPr>
            <w:r>
              <w:t xml:space="preserve">Weight cycling; psychological distress from failed diets</w:t>
            </w:r>
          </w:p>
        </w:tc>
      </w:tr>
      <w:tr>
        <w:tc>
          <w:tcPr/>
          <w:p>
            <w:pPr>
              <w:pStyle w:val="Compact"/>
              <w:jc w:val="left"/>
            </w:pPr>
            <w:r>
              <w:rPr>
                <w:b/>
                <w:bCs/>
              </w:rPr>
              <w:t xml:space="preserve">Avoidant/restrictive food intake disorder (ARFID)</w:t>
            </w:r>
          </w:p>
        </w:tc>
        <w:tc>
          <w:tcPr/>
          <w:p>
            <w:pPr>
              <w:pStyle w:val="Compact"/>
              <w:jc w:val="left"/>
            </w:pPr>
            <w:r>
              <w:t xml:space="preserve">Expanding food repertoire; ensuring nutritional adequacy; addressing sensory/avoidant behaviors</w:t>
            </w:r>
          </w:p>
        </w:tc>
        <w:tc>
          <w:tcPr/>
          <w:p>
            <w:pPr>
              <w:pStyle w:val="Compact"/>
              <w:jc w:val="left"/>
            </w:pPr>
            <w:r>
              <w:t xml:space="preserve">Graduated exposure; occupational therapy; nutritional supplementation as needed</w:t>
            </w:r>
          </w:p>
        </w:tc>
        <w:tc>
          <w:tcPr/>
          <w:p>
            <w:pPr>
              <w:pStyle w:val="Compact"/>
              <w:jc w:val="left"/>
            </w:pPr>
            <w:r>
              <w:t xml:space="preserve">Growth failure in children; micronutrient deficiencies</w:t>
            </w:r>
          </w:p>
        </w:tc>
      </w:tr>
      <w:tr>
        <w:tc>
          <w:tcPr/>
          <w:p>
            <w:pPr>
              <w:pStyle w:val="Compact"/>
              <w:jc w:val="left"/>
            </w:pPr>
            <w:r>
              <w:rPr>
                <w:b/>
                <w:bCs/>
              </w:rPr>
              <w:t xml:space="preserve">Orthorexia nervosa</w:t>
            </w:r>
            <w:r>
              <w:t xml:space="preserve"> </w:t>
            </w:r>
            <w:r>
              <w:t xml:space="preserve">(proposed)</w:t>
            </w:r>
          </w:p>
        </w:tc>
        <w:tc>
          <w:tcPr/>
          <w:p>
            <w:pPr>
              <w:pStyle w:val="Compact"/>
              <w:jc w:val="left"/>
            </w:pPr>
            <w:r>
              <w:t xml:space="preserve">Reducing rigid</w:t>
            </w:r>
            <w:r>
              <w:t xml:space="preserve"> </w:t>
            </w:r>
            <w:r>
              <w:t xml:space="preserve">“</w:t>
            </w:r>
            <w:r>
              <w:t xml:space="preserve">healthy</w:t>
            </w:r>
            <w:r>
              <w:t xml:space="preserve">”</w:t>
            </w:r>
            <w:r>
              <w:t xml:space="preserve"> </w:t>
            </w:r>
            <w:r>
              <w:t xml:space="preserve">eating rules; food flexibility; social eating restoration</w:t>
            </w:r>
          </w:p>
        </w:tc>
        <w:tc>
          <w:tcPr/>
          <w:p>
            <w:pPr>
              <w:pStyle w:val="Compact"/>
              <w:jc w:val="left"/>
            </w:pPr>
            <w:r>
              <w:t xml:space="preserve">Cognitive-behavioral approaches; challenging food rules; values-based eating</w:t>
            </w:r>
          </w:p>
        </w:tc>
        <w:tc>
          <w:tcPr/>
          <w:p>
            <w:pPr>
              <w:pStyle w:val="Compact"/>
              <w:jc w:val="left"/>
            </w:pPr>
            <w:r>
              <w:t xml:space="preserve">Social isolation; malnutrition from excessive restriction; psychological distress</w:t>
            </w:r>
          </w:p>
        </w:tc>
      </w:tr>
    </w:tbl>
    <w:p>
      <w:pPr>
        <w:pStyle w:val="a0"/>
      </w:pPr>
      <w:r>
        <w:rPr>
          <w:b/>
          <w:bCs/>
        </w:rPr>
        <w:t xml:space="preserve">Nutritional rehabilitation in anorexia nervosa requires careful monitoring for refeeding syndrome</w:t>
      </w:r>
      <w:r>
        <w:t xml:space="preserve">—potentially fatal shifts in phosphorus, potassium, and magnesium with rapid refeeding—necessitating</w:t>
      </w:r>
      <w:r>
        <w:t xml:space="preserve"> </w:t>
      </w:r>
      <w:r>
        <w:rPr>
          <w:b/>
          <w:bCs/>
        </w:rPr>
        <w:t xml:space="preserve">graduated caloric advancement and electrolyte monitoring</w:t>
      </w:r>
      <w:r>
        <w:t xml:space="preserve">.</w:t>
      </w:r>
    </w:p>
    <w:bookmarkEnd w:id="206"/>
    <w:bookmarkStart w:id="207" w:name="X1e0f1fbc9f18c4f76adaa5b5e842c0121506099"/>
    <w:p>
      <w:pPr>
        <w:pStyle w:val="4"/>
      </w:pPr>
      <w:r>
        <w:t xml:space="preserve">9.2.3 Surgical and Critically Ill Patients: Enteral and Parenteral Nutrition</w:t>
      </w:r>
    </w:p>
    <w:p>
      <w:pPr>
        <w:pStyle w:val="FirstParagraph"/>
      </w:pPr>
      <w:r>
        <w:rPr>
          <w:b/>
          <w:bCs/>
        </w:rPr>
        <w:t xml:space="preserve">Medical nutrition therapy in acute care settings</w:t>
      </w:r>
      <w:r>
        <w:t xml:space="preserve">:</w:t>
      </w:r>
    </w:p>
    <w:tbl>
      <w:tblPr>
        <w:tblStyle w:val="Table"/>
        <w:tblW w:type="pct" w:w="5000"/>
        <w:jc w:val="left"/>
        <w:tblLayout w:type="fixed"/>
        <w:tblLook w:firstRow="1" w:lastRow="0" w:firstColumn="0" w:lastColumn="0" w:noHBand="0" w:noVBand="0" w:val="0020"/>
      </w:tblPr>
      <w:tblGrid>
        <w:gridCol w:w="2036"/>
        <w:gridCol w:w="1584"/>
        <w:gridCol w:w="4299"/>
      </w:tblGrid>
      <w:tr>
        <w:trPr>
          <w:tblHeader w:val="on"/>
        </w:trPr>
        <w:tc>
          <w:tcPr/>
          <w:p>
            <w:pPr>
              <w:pStyle w:val="Compact"/>
              <w:jc w:val="left"/>
            </w:pPr>
            <w:r>
              <w:t xml:space="preserve">Scenario</w:t>
            </w:r>
          </w:p>
        </w:tc>
        <w:tc>
          <w:tcPr/>
          <w:p>
            <w:pPr>
              <w:pStyle w:val="Compact"/>
              <w:jc w:val="left"/>
            </w:pPr>
            <w:r>
              <w:t xml:space="preserve">Route</w:t>
            </w:r>
          </w:p>
        </w:tc>
        <w:tc>
          <w:tcPr/>
          <w:p>
            <w:pPr>
              <w:pStyle w:val="Compact"/>
              <w:jc w:val="left"/>
            </w:pPr>
            <w:r>
              <w:t xml:space="preserve">Key Considerations</w:t>
            </w:r>
          </w:p>
        </w:tc>
      </w:tr>
      <w:tr>
        <w:tc>
          <w:tcPr/>
          <w:p>
            <w:pPr>
              <w:pStyle w:val="Compact"/>
              <w:jc w:val="left"/>
            </w:pPr>
            <w:r>
              <w:rPr>
                <w:b/>
                <w:bCs/>
              </w:rPr>
              <w:t xml:space="preserve">Elective surgery (preoperative)</w:t>
            </w:r>
          </w:p>
        </w:tc>
        <w:tc>
          <w:tcPr/>
          <w:p>
            <w:pPr>
              <w:pStyle w:val="Compact"/>
              <w:jc w:val="left"/>
            </w:pPr>
            <w:r>
              <w:t xml:space="preserve">Oral if possible; immunonutrition supplements (arginine, omega-3s, RNA) may reduce complications</w:t>
            </w:r>
          </w:p>
        </w:tc>
        <w:tc>
          <w:tcPr/>
          <w:p>
            <w:pPr>
              <w:pStyle w:val="Compact"/>
              <w:jc w:val="left"/>
            </w:pPr>
            <w:r>
              <w:t xml:space="preserve">Prehabilitation nutrition optimization; 7–14 days if malnourished</w:t>
            </w:r>
          </w:p>
        </w:tc>
      </w:tr>
      <w:tr>
        <w:tc>
          <w:tcPr/>
          <w:p>
            <w:pPr>
              <w:pStyle w:val="Compact"/>
              <w:jc w:val="left"/>
            </w:pPr>
            <w:r>
              <w:rPr>
                <w:b/>
                <w:bCs/>
              </w:rPr>
              <w:t xml:space="preserve">Critically ill (ICU)</w:t>
            </w:r>
          </w:p>
        </w:tc>
        <w:tc>
          <w:tcPr/>
          <w:p>
            <w:pPr>
              <w:pStyle w:val="Compact"/>
              <w:jc w:val="left"/>
            </w:pPr>
            <w:r>
              <w:t xml:space="preserve">Enteral nutrition preferred within 24–48 hours if GI functional</w:t>
            </w:r>
          </w:p>
        </w:tc>
        <w:tc>
          <w:tcPr/>
          <w:p>
            <w:pPr>
              <w:pStyle w:val="Compact"/>
              <w:jc w:val="left"/>
            </w:pPr>
            <w:r>
              <w:t xml:space="preserve">Early enteral feeding reduces infections; trophic feeding acceptable initially; avoid overfeeding</w:t>
            </w:r>
          </w:p>
        </w:tc>
      </w:tr>
      <w:tr>
        <w:tc>
          <w:tcPr/>
          <w:p>
            <w:pPr>
              <w:pStyle w:val="Compact"/>
              <w:jc w:val="left"/>
            </w:pPr>
            <w:r>
              <w:rPr>
                <w:b/>
                <w:bCs/>
              </w:rPr>
              <w:t xml:space="preserve">Intestinal failure</w:t>
            </w:r>
          </w:p>
        </w:tc>
        <w:tc>
          <w:tcPr/>
          <w:p>
            <w:pPr>
              <w:pStyle w:val="Compact"/>
              <w:jc w:val="left"/>
            </w:pPr>
            <w:r>
              <w:t xml:space="preserve">Parenteral nutrition if enteral insufficient</w:t>
            </w:r>
          </w:p>
        </w:tc>
        <w:tc>
          <w:tcPr/>
          <w:p>
            <w:pPr>
              <w:pStyle w:val="Compact"/>
              <w:jc w:val="left"/>
            </w:pPr>
            <w:r>
              <w:t xml:space="preserve">Central line care; liver protection; intestinal rehabilitation programs; transplant if permanent</w:t>
            </w:r>
          </w:p>
        </w:tc>
      </w:tr>
      <w:tr>
        <w:tc>
          <w:tcPr/>
          <w:p>
            <w:pPr>
              <w:pStyle w:val="Compact"/>
              <w:jc w:val="left"/>
            </w:pPr>
            <w:r>
              <w:rPr>
                <w:b/>
                <w:bCs/>
              </w:rPr>
              <w:t xml:space="preserve">Post-bariatric surgery</w:t>
            </w:r>
          </w:p>
        </w:tc>
        <w:tc>
          <w:tcPr/>
          <w:p>
            <w:pPr>
              <w:pStyle w:val="Compact"/>
              <w:jc w:val="left"/>
            </w:pPr>
            <w:r>
              <w:t xml:space="preserve">Oral with supplementation</w:t>
            </w:r>
          </w:p>
        </w:tc>
        <w:tc>
          <w:tcPr/>
          <w:p>
            <w:pPr>
              <w:pStyle w:val="Compact"/>
              <w:jc w:val="left"/>
            </w:pPr>
            <w:r>
              <w:t xml:space="preserve">Lifelong micronutrient monitoring (B12, iron, calcium, vitamin D, thiamine, folate); protein adequacy; dumping syndrome management</w:t>
            </w:r>
          </w:p>
        </w:tc>
      </w:tr>
      <w:tr>
        <w:tc>
          <w:tcPr/>
          <w:p>
            <w:pPr>
              <w:pStyle w:val="Compact"/>
              <w:jc w:val="left"/>
            </w:pPr>
            <w:r>
              <w:rPr>
                <w:b/>
                <w:bCs/>
              </w:rPr>
              <w:t xml:space="preserve">Cancer cachexia</w:t>
            </w:r>
          </w:p>
        </w:tc>
        <w:tc>
          <w:tcPr/>
          <w:p>
            <w:pPr>
              <w:pStyle w:val="Compact"/>
              <w:jc w:val="left"/>
            </w:pPr>
            <w:r>
              <w:t xml:space="preserve">Oral preferred; enteral or parenteral if intake inadequate</w:t>
            </w:r>
          </w:p>
        </w:tc>
        <w:tc>
          <w:tcPr/>
          <w:p>
            <w:pPr>
              <w:pStyle w:val="Compact"/>
              <w:jc w:val="left"/>
            </w:pPr>
            <w:r>
              <w:t xml:space="preserve">Multimodal: nutrition support + exercise + anti-inflammatory agents; omega-3s may stabilize weight</w:t>
            </w:r>
          </w:p>
        </w:tc>
      </w:tr>
    </w:tbl>
    <w:bookmarkEnd w:id="207"/>
    <w:bookmarkEnd w:id="208"/>
    <w:bookmarkStart w:id="212" w:name="lifelong-nutritional-optimization"/>
    <w:p>
      <w:pPr>
        <w:pStyle w:val="3"/>
      </w:pPr>
      <w:r>
        <w:t xml:space="preserve">9.3 Lifelong Nutritional Optimization</w:t>
      </w:r>
    </w:p>
    <w:bookmarkStart w:id="209" w:name="prenatal-and-early-life-programming"/>
    <w:p>
      <w:pPr>
        <w:pStyle w:val="4"/>
      </w:pPr>
      <w:r>
        <w:t xml:space="preserve">9.3.1 Prenatal and Early Life Programming</w:t>
      </w:r>
    </w:p>
    <w:p>
      <w:pPr>
        <w:pStyle w:val="FirstParagraph"/>
      </w:pPr>
      <w:r>
        <w:rPr>
          <w:b/>
          <w:bCs/>
        </w:rPr>
        <w:t xml:space="preserve">The first 1,000 days from conception to age 2 years represents the critical window for nutritional programming of lifelong health</w:t>
      </w:r>
      <w:r>
        <w:t xml:space="preserve">:</w:t>
      </w:r>
    </w:p>
    <w:tbl>
      <w:tblPr>
        <w:tblStyle w:val="Table"/>
        <w:tblW w:type="pct" w:w="5000"/>
        <w:jc w:val="left"/>
        <w:tblLayout w:type="fixed"/>
        <w:tblLook w:firstRow="1" w:lastRow="0" w:firstColumn="0" w:lastColumn="0" w:noHBand="0" w:noVBand="0" w:val="0020"/>
      </w:tblPr>
      <w:tblGrid>
        <w:gridCol w:w="867"/>
        <w:gridCol w:w="2603"/>
        <w:gridCol w:w="2169"/>
        <w:gridCol w:w="2278"/>
      </w:tblGrid>
      <w:tr>
        <w:trPr>
          <w:tblHeader w:val="on"/>
        </w:trPr>
        <w:tc>
          <w:tcPr/>
          <w:p>
            <w:pPr>
              <w:pStyle w:val="Compact"/>
              <w:jc w:val="left"/>
            </w:pPr>
            <w:r>
              <w:t xml:space="preserve">Period</w:t>
            </w:r>
          </w:p>
        </w:tc>
        <w:tc>
          <w:tcPr/>
          <w:p>
            <w:pPr>
              <w:pStyle w:val="Compact"/>
              <w:jc w:val="left"/>
            </w:pPr>
            <w:r>
              <w:t xml:space="preserve">Key Nutritional Factors</w:t>
            </w:r>
          </w:p>
        </w:tc>
        <w:tc>
          <w:tcPr/>
          <w:p>
            <w:pPr>
              <w:pStyle w:val="Compact"/>
              <w:jc w:val="left"/>
            </w:pPr>
            <w:r>
              <w:t xml:space="preserve">Programming Effects</w:t>
            </w:r>
          </w:p>
        </w:tc>
        <w:tc>
          <w:tcPr/>
          <w:p>
            <w:pPr>
              <w:pStyle w:val="Compact"/>
              <w:jc w:val="left"/>
            </w:pPr>
            <w:r>
              <w:t xml:space="preserve">Intervention Targets</w:t>
            </w:r>
          </w:p>
        </w:tc>
      </w:tr>
      <w:tr>
        <w:tc>
          <w:tcPr/>
          <w:p>
            <w:pPr>
              <w:pStyle w:val="Compact"/>
              <w:jc w:val="left"/>
            </w:pPr>
            <w:r>
              <w:rPr>
                <w:b/>
                <w:bCs/>
              </w:rPr>
              <w:t xml:space="preserve">Preconception</w:t>
            </w:r>
          </w:p>
        </w:tc>
        <w:tc>
          <w:tcPr/>
          <w:p>
            <w:pPr>
              <w:pStyle w:val="Compact"/>
              <w:jc w:val="left"/>
            </w:pPr>
            <w:r>
              <w:t xml:space="preserve">Folate, iodine, iron, healthy weight, glycemic control</w:t>
            </w:r>
          </w:p>
        </w:tc>
        <w:tc>
          <w:tcPr/>
          <w:p>
            <w:pPr>
              <w:pStyle w:val="Compact"/>
              <w:jc w:val="left"/>
            </w:pPr>
            <w:r>
              <w:t xml:space="preserve">Neural tube development; thyroid function; metabolic set points</w:t>
            </w:r>
          </w:p>
        </w:tc>
        <w:tc>
          <w:tcPr/>
          <w:p>
            <w:pPr>
              <w:pStyle w:val="Compact"/>
              <w:jc w:val="left"/>
            </w:pPr>
            <w:r>
              <w:t xml:space="preserve">Folic acid fortification/supplementation; preconception care; weight management</w:t>
            </w:r>
          </w:p>
        </w:tc>
      </w:tr>
      <w:tr>
        <w:tc>
          <w:tcPr/>
          <w:p>
            <w:pPr>
              <w:pStyle w:val="Compact"/>
              <w:jc w:val="left"/>
            </w:pPr>
            <w:r>
              <w:rPr>
                <w:b/>
                <w:bCs/>
              </w:rPr>
              <w:t xml:space="preserve">Pregnancy</w:t>
            </w:r>
          </w:p>
        </w:tc>
        <w:tc>
          <w:tcPr/>
          <w:p>
            <w:pPr>
              <w:pStyle w:val="Compact"/>
              <w:jc w:val="left"/>
            </w:pPr>
            <w:r>
              <w:t xml:space="preserve">Protein, DHA, iron, iodine, vitamin D, appropriate weight gain</w:t>
            </w:r>
          </w:p>
        </w:tc>
        <w:tc>
          <w:tcPr/>
          <w:p>
            <w:pPr>
              <w:pStyle w:val="Compact"/>
              <w:jc w:val="left"/>
            </w:pPr>
            <w:r>
              <w:t xml:space="preserve">Fetal growth trajectory; brain development; organogenesis; epigenetic marks</w:t>
            </w:r>
          </w:p>
        </w:tc>
        <w:tc>
          <w:tcPr/>
          <w:p>
            <w:pPr>
              <w:pStyle w:val="Compact"/>
              <w:jc w:val="left"/>
            </w:pPr>
            <w:r>
              <w:t xml:space="preserve">Antenatal care; micronutrient supplementation; dietary counseling; gestational diabetes management</w:t>
            </w:r>
          </w:p>
        </w:tc>
      </w:tr>
      <w:tr>
        <w:tc>
          <w:tcPr/>
          <w:p>
            <w:pPr>
              <w:pStyle w:val="Compact"/>
              <w:jc w:val="left"/>
            </w:pPr>
            <w:r>
              <w:rPr>
                <w:b/>
                <w:bCs/>
              </w:rPr>
              <w:t xml:space="preserve">Infancy (0–6 months)</w:t>
            </w:r>
          </w:p>
        </w:tc>
        <w:tc>
          <w:tcPr/>
          <w:p>
            <w:pPr>
              <w:pStyle w:val="Compact"/>
              <w:jc w:val="left"/>
            </w:pPr>
            <w:r>
              <w:t xml:space="preserve">Breastfeeding; vitamin D; iron; DHA</w:t>
            </w:r>
          </w:p>
        </w:tc>
        <w:tc>
          <w:tcPr/>
          <w:p>
            <w:pPr>
              <w:pStyle w:val="Compact"/>
              <w:jc w:val="left"/>
            </w:pPr>
            <w:r>
              <w:t xml:space="preserve">Microbiome establishment; immune programming; growth velocity; taste preference development</w:t>
            </w:r>
          </w:p>
        </w:tc>
        <w:tc>
          <w:tcPr/>
          <w:p>
            <w:pPr>
              <w:pStyle w:val="Compact"/>
              <w:jc w:val="left"/>
            </w:pPr>
            <w:r>
              <w:t xml:space="preserve">Lactation support; vitamin D supplementation; timely complementary feeding</w:t>
            </w:r>
          </w:p>
        </w:tc>
      </w:tr>
      <w:tr>
        <w:tc>
          <w:tcPr/>
          <w:p>
            <w:pPr>
              <w:pStyle w:val="Compact"/>
              <w:jc w:val="left"/>
            </w:pPr>
            <w:r>
              <w:rPr>
                <w:b/>
                <w:bCs/>
              </w:rPr>
              <w:t xml:space="preserve">Late infancy/early childhood (6–24 months)</w:t>
            </w:r>
          </w:p>
        </w:tc>
        <w:tc>
          <w:tcPr/>
          <w:p>
            <w:pPr>
              <w:pStyle w:val="Compact"/>
              <w:jc w:val="left"/>
            </w:pPr>
            <w:r>
              <w:t xml:space="preserve">Complementary food quality; iron; zinc; continued breastfeeding; allergen introduction</w:t>
            </w:r>
          </w:p>
        </w:tc>
        <w:tc>
          <w:tcPr/>
          <w:p>
            <w:pPr>
              <w:pStyle w:val="Compact"/>
              <w:jc w:val="left"/>
            </w:pPr>
            <w:r>
              <w:t xml:space="preserve">Growth trajectory; cognitive development; food acceptance patterns; allergy prevention; gut microbiome diversification</w:t>
            </w:r>
          </w:p>
        </w:tc>
        <w:tc>
          <w:tcPr/>
          <w:p>
            <w:pPr>
              <w:pStyle w:val="Compact"/>
              <w:jc w:val="left"/>
            </w:pPr>
            <w:r>
              <w:t xml:space="preserve">Responsive feeding; diverse, nutrient-dense foods; early allergen introduction; avoid sugar-sweetened beverages</w:t>
            </w:r>
          </w:p>
        </w:tc>
      </w:tr>
    </w:tbl>
    <w:p>
      <w:pPr>
        <w:pStyle w:val="a0"/>
      </w:pPr>
      <w:r>
        <w:rPr>
          <w:b/>
          <w:bCs/>
        </w:rPr>
        <w:t xml:space="preserve">Epigenetic mechanisms</w:t>
      </w:r>
      <w:r>
        <w:t xml:space="preserve"> </w:t>
      </w:r>
      <w:r>
        <w:t xml:space="preserve">(DNA methylation, histone modification, non-coding RNAs)</w:t>
      </w:r>
      <w:r>
        <w:t xml:space="preserve"> </w:t>
      </w:r>
      <w:r>
        <w:rPr>
          <w:b/>
          <w:bCs/>
        </w:rPr>
        <w:t xml:space="preserve">mediate long-term effects of early nutrition</w:t>
      </w:r>
      <w:r>
        <w:t xml:space="preserve">, with</w:t>
      </w:r>
      <w:r>
        <w:t xml:space="preserve"> </w:t>
      </w:r>
      <w:r>
        <w:rPr>
          <w:b/>
          <w:bCs/>
        </w:rPr>
        <w:t xml:space="preserve">human and animal studies demonstrating persistent metabolic programming</w:t>
      </w:r>
      <w:r>
        <w:t xml:space="preserve"> </w:t>
      </w:r>
      <w:r>
        <w:t xml:space="preserve">from maternal and early postnatal diet.</w:t>
      </w:r>
    </w:p>
    <w:bookmarkEnd w:id="209"/>
    <w:bookmarkStart w:id="210" w:name="midlife-prevention-and-maintenance"/>
    <w:p>
      <w:pPr>
        <w:pStyle w:val="4"/>
      </w:pPr>
      <w:r>
        <w:t xml:space="preserve">9.3.2 Midlife Prevention and Maintenance</w:t>
      </w:r>
    </w:p>
    <w:p>
      <w:pPr>
        <w:pStyle w:val="FirstParagraph"/>
      </w:pPr>
      <w:r>
        <w:rPr>
          <w:b/>
          <w:bCs/>
        </w:rPr>
        <w:t xml:space="preserve">Adulthood offers the longest window for preventive nutrition interventions</w:t>
      </w:r>
      <w:r>
        <w:t xml:space="preserve">:</w:t>
      </w:r>
    </w:p>
    <w:tbl>
      <w:tblPr>
        <w:tblStyle w:val="Table"/>
        <w:tblW w:type="pct" w:w="5000"/>
        <w:jc w:val="left"/>
        <w:tblLayout w:type="fixed"/>
        <w:tblLook w:firstRow="1" w:lastRow="0" w:firstColumn="0" w:lastColumn="0" w:noHBand="0" w:noVBand="0" w:val="0020"/>
      </w:tblPr>
      <w:tblGrid>
        <w:gridCol w:w="2489"/>
        <w:gridCol w:w="2262"/>
        <w:gridCol w:w="3168"/>
      </w:tblGrid>
      <w:tr>
        <w:trPr>
          <w:tblHeader w:val="on"/>
        </w:trPr>
        <w:tc>
          <w:tcPr/>
          <w:p>
            <w:pPr>
              <w:pStyle w:val="Compact"/>
              <w:jc w:val="left"/>
            </w:pPr>
            <w:r>
              <w:t xml:space="preserve">Focus Area</w:t>
            </w:r>
          </w:p>
        </w:tc>
        <w:tc>
          <w:tcPr/>
          <w:p>
            <w:pPr>
              <w:pStyle w:val="Compact"/>
              <w:jc w:val="left"/>
            </w:pPr>
            <w:r>
              <w:t xml:space="preserve">Rationale</w:t>
            </w:r>
          </w:p>
        </w:tc>
        <w:tc>
          <w:tcPr/>
          <w:p>
            <w:pPr>
              <w:pStyle w:val="Compact"/>
              <w:jc w:val="left"/>
            </w:pPr>
            <w:r>
              <w:t xml:space="preserve">Key Strategies</w:t>
            </w:r>
          </w:p>
        </w:tc>
      </w:tr>
      <w:tr>
        <w:tc>
          <w:tcPr/>
          <w:p>
            <w:pPr>
              <w:pStyle w:val="Compact"/>
              <w:jc w:val="left"/>
            </w:pPr>
            <w:r>
              <w:rPr>
                <w:b/>
                <w:bCs/>
              </w:rPr>
              <w:t xml:space="preserve">Weight management</w:t>
            </w:r>
          </w:p>
        </w:tc>
        <w:tc>
          <w:tcPr/>
          <w:p>
            <w:pPr>
              <w:pStyle w:val="Compact"/>
              <w:jc w:val="left"/>
            </w:pPr>
            <w:r>
              <w:t xml:space="preserve">Preventing obesity or achieving modest weight loss reduces diabetes, cardiovascular disease, cancer risk</w:t>
            </w:r>
          </w:p>
        </w:tc>
        <w:tc>
          <w:tcPr/>
          <w:p>
            <w:pPr>
              <w:pStyle w:val="Compact"/>
              <w:jc w:val="left"/>
            </w:pPr>
            <w:r>
              <w:t xml:space="preserve">Sustainable dietary pattern; physical activity; behavioral strategies; address sleep and stress</w:t>
            </w:r>
          </w:p>
        </w:tc>
      </w:tr>
      <w:tr>
        <w:tc>
          <w:tcPr/>
          <w:p>
            <w:pPr>
              <w:pStyle w:val="Compact"/>
              <w:jc w:val="left"/>
            </w:pPr>
            <w:r>
              <w:rPr>
                <w:b/>
                <w:bCs/>
              </w:rPr>
              <w:t xml:space="preserve">Cardiovascular risk reduction</w:t>
            </w:r>
          </w:p>
        </w:tc>
        <w:tc>
          <w:tcPr/>
          <w:p>
            <w:pPr>
              <w:pStyle w:val="Compact"/>
              <w:jc w:val="left"/>
            </w:pPr>
            <w:r>
              <w:t xml:space="preserve">Atherosclerosis is progressive; midlife intervention delays clinical events</w:t>
            </w:r>
          </w:p>
        </w:tc>
        <w:tc>
          <w:tcPr/>
          <w:p>
            <w:pPr>
              <w:pStyle w:val="Compact"/>
              <w:jc w:val="left"/>
            </w:pPr>
            <w:r>
              <w:t xml:space="preserve">Mediterranean or DASH pattern; sodium reduction; omega-3s; plant sterols if hypercholesterolemic</w:t>
            </w:r>
          </w:p>
        </w:tc>
      </w:tr>
      <w:tr>
        <w:tc>
          <w:tcPr/>
          <w:p>
            <w:pPr>
              <w:pStyle w:val="Compact"/>
              <w:jc w:val="left"/>
            </w:pPr>
            <w:r>
              <w:rPr>
                <w:b/>
                <w:bCs/>
              </w:rPr>
              <w:t xml:space="preserve">Cancer risk reduction</w:t>
            </w:r>
          </w:p>
        </w:tc>
        <w:tc>
          <w:tcPr/>
          <w:p>
            <w:pPr>
              <w:pStyle w:val="Compact"/>
              <w:jc w:val="left"/>
            </w:pPr>
            <w:r>
              <w:t xml:space="preserve">Cumulative exposure; DNA damage repair capacity declines</w:t>
            </w:r>
          </w:p>
        </w:tc>
        <w:tc>
          <w:tcPr/>
          <w:p>
            <w:pPr>
              <w:pStyle w:val="Compact"/>
              <w:jc w:val="left"/>
            </w:pPr>
            <w:r>
              <w:t xml:space="preserve">WCRF/AICR recommendations; maintain healthy weight; limit alcohol; high fiber; varied vegetables and fruits</w:t>
            </w:r>
          </w:p>
        </w:tc>
      </w:tr>
      <w:tr>
        <w:tc>
          <w:tcPr/>
          <w:p>
            <w:pPr>
              <w:pStyle w:val="Compact"/>
              <w:jc w:val="left"/>
            </w:pPr>
            <w:r>
              <w:rPr>
                <w:b/>
                <w:bCs/>
              </w:rPr>
              <w:t xml:space="preserve">Cognitive preservation</w:t>
            </w:r>
          </w:p>
        </w:tc>
        <w:tc>
          <w:tcPr/>
          <w:p>
            <w:pPr>
              <w:pStyle w:val="Compact"/>
              <w:jc w:val="left"/>
            </w:pPr>
            <w:r>
              <w:t xml:space="preserve">Midlife cardiovascular risk factors predict later dementia</w:t>
            </w:r>
          </w:p>
        </w:tc>
        <w:tc>
          <w:tcPr/>
          <w:p>
            <w:pPr>
              <w:pStyle w:val="Compact"/>
              <w:jc w:val="left"/>
            </w:pPr>
            <w:r>
              <w:t xml:space="preserve">Same as cardiovascular; add MIND diet components; physical and cognitive activity; social engagement</w:t>
            </w:r>
          </w:p>
        </w:tc>
      </w:tr>
      <w:tr>
        <w:tc>
          <w:tcPr/>
          <w:p>
            <w:pPr>
              <w:pStyle w:val="Compact"/>
              <w:jc w:val="left"/>
            </w:pPr>
            <w:r>
              <w:rPr>
                <w:b/>
                <w:bCs/>
              </w:rPr>
              <w:t xml:space="preserve">Muscle maintenance</w:t>
            </w:r>
          </w:p>
        </w:tc>
        <w:tc>
          <w:tcPr/>
          <w:p>
            <w:pPr>
              <w:pStyle w:val="Compact"/>
              <w:jc w:val="left"/>
            </w:pPr>
            <w:r>
              <w:t xml:space="preserve">Sarcopenia begins in 30s–40s; accelerates after 60</w:t>
            </w:r>
          </w:p>
        </w:tc>
        <w:tc>
          <w:tcPr/>
          <w:p>
            <w:pPr>
              <w:pStyle w:val="Compact"/>
              <w:jc w:val="left"/>
            </w:pPr>
            <w:r>
              <w:t xml:space="preserve">Resistance training; protein distribution (25–30 g per meal); leucine-rich sources; vitamin D adequacy</w:t>
            </w:r>
          </w:p>
        </w:tc>
      </w:tr>
      <w:tr>
        <w:tc>
          <w:tcPr/>
          <w:p>
            <w:pPr>
              <w:pStyle w:val="Compact"/>
              <w:jc w:val="left"/>
            </w:pPr>
            <w:r>
              <w:rPr>
                <w:b/>
                <w:bCs/>
              </w:rPr>
              <w:t xml:space="preserve">Bone health</w:t>
            </w:r>
          </w:p>
        </w:tc>
        <w:tc>
          <w:tcPr/>
          <w:p>
            <w:pPr>
              <w:pStyle w:val="Compact"/>
              <w:jc w:val="left"/>
            </w:pPr>
            <w:r>
              <w:t xml:space="preserve">Peak bone mass achieved by 30; maintenance thereafter</w:t>
            </w:r>
          </w:p>
        </w:tc>
        <w:tc>
          <w:tcPr/>
          <w:p>
            <w:pPr>
              <w:pStyle w:val="Compact"/>
              <w:jc w:val="left"/>
            </w:pPr>
            <w:r>
              <w:t xml:space="preserve">Calcium and vitamin D; weight-bearing exercise; avoid smoking and excess alcohol</w:t>
            </w:r>
          </w:p>
        </w:tc>
      </w:tr>
    </w:tbl>
    <w:p>
      <w:pPr>
        <w:pStyle w:val="a0"/>
      </w:pPr>
      <w:r>
        <w:rPr>
          <w:b/>
          <w:bCs/>
        </w:rPr>
        <w:t xml:space="preserve">The</w:t>
      </w:r>
      <w:r>
        <w:rPr>
          <w:b/>
          <w:bCs/>
        </w:rPr>
        <w:t xml:space="preserve"> </w:t>
      </w:r>
      <w:r>
        <w:rPr>
          <w:b/>
          <w:bCs/>
        </w:rPr>
        <w:t xml:space="preserve">“</w:t>
      </w:r>
      <w:r>
        <w:rPr>
          <w:b/>
          <w:bCs/>
        </w:rPr>
        <w:t xml:space="preserve">compression of morbidity</w:t>
      </w:r>
      <w:r>
        <w:rPr>
          <w:b/>
          <w:bCs/>
        </w:rPr>
        <w:t xml:space="preserve">”</w:t>
      </w:r>
      <w:r>
        <w:rPr>
          <w:b/>
          <w:bCs/>
        </w:rPr>
        <w:t xml:space="preserve"> </w:t>
      </w:r>
      <w:r>
        <w:rPr>
          <w:b/>
          <w:bCs/>
        </w:rPr>
        <w:t xml:space="preserve">goal</w:t>
      </w:r>
      <w:r>
        <w:t xml:space="preserve">—</w:t>
      </w:r>
      <w:r>
        <w:rPr>
          <w:b/>
          <w:bCs/>
        </w:rPr>
        <w:t xml:space="preserve">maintaining health and function until late life, with rapid decline at end</w:t>
      </w:r>
      <w:r>
        <w:t xml:space="preserve">—is</w:t>
      </w:r>
      <w:r>
        <w:t xml:space="preserve"> </w:t>
      </w:r>
      <w:r>
        <w:rPr>
          <w:b/>
          <w:bCs/>
        </w:rPr>
        <w:t xml:space="preserve">achievable through sustained midlife healthy behaviors</w:t>
      </w:r>
      <w:r>
        <w:t xml:space="preserve">.</w:t>
      </w:r>
    </w:p>
    <w:bookmarkEnd w:id="210"/>
    <w:bookmarkStart w:id="211" w:name="healthy-aging-and-longevity-strategies"/>
    <w:p>
      <w:pPr>
        <w:pStyle w:val="4"/>
      </w:pPr>
      <w:r>
        <w:t xml:space="preserve">9.3.3 Healthy Aging and Longevity Strategies</w:t>
      </w:r>
    </w:p>
    <w:p>
      <w:pPr>
        <w:pStyle w:val="FirstParagraph"/>
      </w:pPr>
      <w:r>
        <w:rPr>
          <w:b/>
          <w:bCs/>
        </w:rPr>
        <w:t xml:space="preserve">Nutrition for older adults balances multiple competing priorities</w:t>
      </w:r>
      <w:r>
        <w:t xml:space="preserve">:</w:t>
      </w:r>
    </w:p>
    <w:tbl>
      <w:tblPr>
        <w:tblStyle w:val="Table"/>
        <w:tblW w:type="pct" w:w="5000"/>
        <w:jc w:val="left"/>
        <w:tblLayout w:type="fixed"/>
        <w:tblLook w:firstRow="1" w:lastRow="0" w:firstColumn="0" w:lastColumn="0" w:noHBand="0" w:noVBand="0" w:val="0020"/>
      </w:tblPr>
      <w:tblGrid>
        <w:gridCol w:w="2457"/>
        <w:gridCol w:w="2731"/>
        <w:gridCol w:w="2731"/>
      </w:tblGrid>
      <w:tr>
        <w:trPr>
          <w:tblHeader w:val="on"/>
        </w:trPr>
        <w:tc>
          <w:tcPr/>
          <w:p>
            <w:pPr>
              <w:pStyle w:val="Compact"/>
              <w:jc w:val="left"/>
            </w:pPr>
            <w:r>
              <w:t xml:space="preserve">Priority</w:t>
            </w:r>
          </w:p>
        </w:tc>
        <w:tc>
          <w:tcPr/>
          <w:p>
            <w:pPr>
              <w:pStyle w:val="Compact"/>
              <w:jc w:val="left"/>
            </w:pPr>
            <w:r>
              <w:t xml:space="preserve">Challenge</w:t>
            </w:r>
          </w:p>
        </w:tc>
        <w:tc>
          <w:tcPr/>
          <w:p>
            <w:pPr>
              <w:pStyle w:val="Compact"/>
              <w:jc w:val="left"/>
            </w:pPr>
            <w:r>
              <w:t xml:space="preserve">Strategy</w:t>
            </w:r>
          </w:p>
        </w:tc>
      </w:tr>
      <w:tr>
        <w:tc>
          <w:tcPr/>
          <w:p>
            <w:pPr>
              <w:pStyle w:val="Compact"/>
              <w:jc w:val="left"/>
            </w:pPr>
            <w:r>
              <w:rPr>
                <w:b/>
                <w:bCs/>
              </w:rPr>
              <w:t xml:space="preserve">Nutrient density within reduced calories</w:t>
            </w:r>
          </w:p>
        </w:tc>
        <w:tc>
          <w:tcPr/>
          <w:p>
            <w:pPr>
              <w:pStyle w:val="Compact"/>
              <w:jc w:val="left"/>
            </w:pPr>
            <w:r>
              <w:t xml:space="preserve">Appetite decline; reduced energy needs; chewing difficulties</w:t>
            </w:r>
          </w:p>
        </w:tc>
        <w:tc>
          <w:tcPr/>
          <w:p>
            <w:pPr>
              <w:pStyle w:val="Compact"/>
              <w:jc w:val="left"/>
            </w:pPr>
            <w:r>
              <w:t xml:space="preserve">Nutrient-dense, appealing, texture-appropriate foods; fortification; small frequent meals</w:t>
            </w:r>
          </w:p>
        </w:tc>
      </w:tr>
      <w:tr>
        <w:tc>
          <w:tcPr/>
          <w:p>
            <w:pPr>
              <w:pStyle w:val="Compact"/>
              <w:jc w:val="left"/>
            </w:pPr>
            <w:r>
              <w:rPr>
                <w:b/>
                <w:bCs/>
              </w:rPr>
              <w:t xml:space="preserve">Protein for muscle preservation</w:t>
            </w:r>
          </w:p>
        </w:tc>
        <w:tc>
          <w:tcPr/>
          <w:p>
            <w:pPr>
              <w:pStyle w:val="Compact"/>
              <w:jc w:val="left"/>
            </w:pPr>
            <w:r>
              <w:t xml:space="preserve">Anabolic resistance; reduced intake; dental issues</w:t>
            </w:r>
          </w:p>
        </w:tc>
        <w:tc>
          <w:tcPr/>
          <w:p>
            <w:pPr>
              <w:pStyle w:val="Compact"/>
              <w:jc w:val="left"/>
            </w:pPr>
            <w:r>
              <w:t xml:space="preserve">1.0–1.2 g/kg protein; 25–30 g per meal; soft protein sources; supplementation if inadequate</w:t>
            </w:r>
          </w:p>
        </w:tc>
      </w:tr>
      <w:tr>
        <w:tc>
          <w:tcPr/>
          <w:p>
            <w:pPr>
              <w:pStyle w:val="Compact"/>
              <w:jc w:val="left"/>
            </w:pPr>
            <w:r>
              <w:rPr>
                <w:b/>
                <w:bCs/>
              </w:rPr>
              <w:t xml:space="preserve">Hydration</w:t>
            </w:r>
          </w:p>
        </w:tc>
        <w:tc>
          <w:tcPr/>
          <w:p>
            <w:pPr>
              <w:pStyle w:val="Compact"/>
              <w:jc w:val="left"/>
            </w:pPr>
            <w:r>
              <w:t xml:space="preserve">Blunted thirst; fear of incontinence; medication effects</w:t>
            </w:r>
          </w:p>
        </w:tc>
        <w:tc>
          <w:tcPr/>
          <w:p>
            <w:pPr>
              <w:pStyle w:val="Compact"/>
              <w:jc w:val="left"/>
            </w:pPr>
            <w:r>
              <w:t xml:space="preserve">Scheduled fluids; appealing beverages; monitor hydration status</w:t>
            </w:r>
          </w:p>
        </w:tc>
      </w:tr>
      <w:tr>
        <w:tc>
          <w:tcPr/>
          <w:p>
            <w:pPr>
              <w:pStyle w:val="Compact"/>
              <w:jc w:val="left"/>
            </w:pPr>
            <w:r>
              <w:rPr>
                <w:b/>
                <w:bCs/>
              </w:rPr>
              <w:t xml:space="preserve">Social connection through food</w:t>
            </w:r>
          </w:p>
        </w:tc>
        <w:tc>
          <w:tcPr/>
          <w:p>
            <w:pPr>
              <w:pStyle w:val="Compact"/>
              <w:jc w:val="left"/>
            </w:pPr>
            <w:r>
              <w:t xml:space="preserve">Living alone; limited mobility; bereavement</w:t>
            </w:r>
          </w:p>
        </w:tc>
        <w:tc>
          <w:tcPr/>
          <w:p>
            <w:pPr>
              <w:pStyle w:val="Compact"/>
              <w:jc w:val="left"/>
            </w:pPr>
            <w:r>
              <w:t xml:space="preserve">Congregate meals; meal delivery; cooking with others; family involvement</w:t>
            </w:r>
          </w:p>
        </w:tc>
      </w:tr>
      <w:tr>
        <w:tc>
          <w:tcPr/>
          <w:p>
            <w:pPr>
              <w:pStyle w:val="Compact"/>
              <w:jc w:val="left"/>
            </w:pPr>
            <w:r>
              <w:rPr>
                <w:b/>
                <w:bCs/>
              </w:rPr>
              <w:t xml:space="preserve">Cognitive health</w:t>
            </w:r>
          </w:p>
        </w:tc>
        <w:tc>
          <w:tcPr/>
          <w:p>
            <w:pPr>
              <w:pStyle w:val="Compact"/>
              <w:jc w:val="left"/>
            </w:pPr>
            <w:r>
              <w:t xml:space="preserve">Dementia risk; medication-nutrient interactions</w:t>
            </w:r>
          </w:p>
        </w:tc>
        <w:tc>
          <w:tcPr/>
          <w:p>
            <w:pPr>
              <w:pStyle w:val="Compact"/>
              <w:jc w:val="left"/>
            </w:pPr>
            <w:r>
              <w:t xml:space="preserve">MIND diet principles; B12 monitoring; avoid drug-nutrient interactions; simplify food preparation as needed</w:t>
            </w:r>
          </w:p>
        </w:tc>
      </w:tr>
      <w:tr>
        <w:tc>
          <w:tcPr/>
          <w:p>
            <w:pPr>
              <w:pStyle w:val="Compact"/>
              <w:jc w:val="left"/>
            </w:pPr>
            <w:r>
              <w:rPr>
                <w:b/>
                <w:bCs/>
              </w:rPr>
              <w:t xml:space="preserve">Food safety</w:t>
            </w:r>
          </w:p>
        </w:tc>
        <w:tc>
          <w:tcPr/>
          <w:p>
            <w:pPr>
              <w:pStyle w:val="Compact"/>
              <w:jc w:val="left"/>
            </w:pPr>
            <w:r>
              <w:t xml:space="preserve">Immunosenescence; reduced gastric acid</w:t>
            </w:r>
          </w:p>
        </w:tc>
        <w:tc>
          <w:tcPr/>
          <w:p>
            <w:pPr>
              <w:pStyle w:val="Compact"/>
              <w:jc w:val="left"/>
            </w:pPr>
            <w:r>
              <w:t xml:space="preserve">Proper food handling; avoid high-risk foods (unpasteurized, raw seafood); temperature control</w:t>
            </w:r>
          </w:p>
        </w:tc>
      </w:tr>
      <w:tr>
        <w:tc>
          <w:tcPr/>
          <w:p>
            <w:pPr>
              <w:pStyle w:val="Compact"/>
              <w:jc w:val="left"/>
            </w:pPr>
            <w:r>
              <w:rPr>
                <w:b/>
                <w:bCs/>
              </w:rPr>
              <w:t xml:space="preserve">Pleasure and quality of life</w:t>
            </w:r>
          </w:p>
        </w:tc>
        <w:tc>
          <w:tcPr/>
          <w:p>
            <w:pPr>
              <w:pStyle w:val="Compact"/>
              <w:jc w:val="left"/>
            </w:pPr>
            <w:r>
              <w:t xml:space="preserve">Restrictive diets; health conditions; functional limitations</w:t>
            </w:r>
          </w:p>
        </w:tc>
        <w:tc>
          <w:tcPr/>
          <w:p>
            <w:pPr>
              <w:pStyle w:val="Compact"/>
              <w:jc w:val="left"/>
            </w:pPr>
            <w:r>
              <w:t xml:space="preserve">Individualized approach; prioritize culturally meaningful foods; flexible goals; avoid unnecessary restriction</w:t>
            </w:r>
          </w:p>
        </w:tc>
      </w:tr>
    </w:tbl>
    <w:p>
      <w:pPr>
        <w:pStyle w:val="a0"/>
      </w:pPr>
      <w:r>
        <w:rPr>
          <w:b/>
          <w:bCs/>
        </w:rPr>
        <w:t xml:space="preserve">The</w:t>
      </w:r>
      <w:r>
        <w:rPr>
          <w:b/>
          <w:bCs/>
        </w:rPr>
        <w:t xml:space="preserve"> </w:t>
      </w:r>
      <w:r>
        <w:rPr>
          <w:b/>
          <w:bCs/>
        </w:rPr>
        <w:t xml:space="preserve">“</w:t>
      </w:r>
      <w:r>
        <w:rPr>
          <w:b/>
          <w:bCs/>
        </w:rPr>
        <w:t xml:space="preserve">Blue Zones</w:t>
      </w:r>
      <w:r>
        <w:rPr>
          <w:b/>
          <w:bCs/>
        </w:rPr>
        <w:t xml:space="preserve">”</w:t>
      </w:r>
      <w:r>
        <w:rPr>
          <w:b/>
          <w:bCs/>
        </w:rPr>
        <w:t xml:space="preserve">—regions with exceptional longevity (Sardinia, Okinawa, Ikaria, Loma Linda, Nicoya)</w:t>
      </w:r>
      <w:r>
        <w:t xml:space="preserve">—share</w:t>
      </w:r>
      <w:r>
        <w:t xml:space="preserve"> </w:t>
      </w:r>
      <w:r>
        <w:rPr>
          <w:b/>
          <w:bCs/>
        </w:rPr>
        <w:t xml:space="preserve">common dietary and lifestyle features</w:t>
      </w:r>
      <w:r>
        <w:t xml:space="preserve">:</w:t>
      </w:r>
      <w:r>
        <w:t xml:space="preserve"> </w:t>
      </w:r>
      <w:r>
        <w:rPr>
          <w:b/>
          <w:bCs/>
        </w:rPr>
        <w:t xml:space="preserve">plant-forward diets; moderate caloric intake; regular physical activity integrated into daily life; strong social connections; sense of purpose; and moderate alcohol (except Loma Linda)</w:t>
      </w:r>
      <w:r>
        <w:t xml:space="preserve">. These patterns suggest that</w:t>
      </w:r>
      <w:r>
        <w:t xml:space="preserve"> </w:t>
      </w:r>
      <w:r>
        <w:rPr>
          <w:b/>
          <w:bCs/>
        </w:rPr>
        <w:t xml:space="preserve">nutrition operates within a broader lifestyle context for longevity</w:t>
      </w:r>
      <w:r>
        <w:t xml:space="preserve">, and that</w:t>
      </w:r>
      <w:r>
        <w:t xml:space="preserve"> </w:t>
      </w:r>
      <w:r>
        <w:rPr>
          <w:b/>
          <w:bCs/>
        </w:rPr>
        <w:t xml:space="preserve">sustainable, enjoyable dietary patterns outperform restrictive approaches</w:t>
      </w:r>
      <w:r>
        <w:t xml:space="preserve"> </w:t>
      </w:r>
      <w:r>
        <w:t xml:space="preserve">for long-term adherence and outcomes.</w:t>
      </w:r>
    </w:p>
    <w:p>
      <w:pPr>
        <w:pStyle w:val="a0"/>
      </w:pPr>
      <w:r>
        <w:rPr>
          <w:b/>
          <w:bCs/>
        </w:rPr>
        <w:t xml:space="preserve">The integration of nutritional science with individual preferences, cultural contexts, social determinants, and life stage requirements represents the art as well as the science of nutrition practice</w:t>
      </w:r>
      <w:r>
        <w:t xml:space="preserve">. As research advances in precision nutrition, sustainability, and the microbiome,</w:t>
      </w:r>
      <w:r>
        <w:t xml:space="preserve"> </w:t>
      </w:r>
      <w:r>
        <w:rPr>
          <w:b/>
          <w:bCs/>
        </w:rPr>
        <w:t xml:space="preserve">core principles remain constant: eat a variety of whole foods; maintain energy balance; ensure micronutrient adequacy; enjoy food as part of a meaningful life; and adapt to changing needs across the lifespan</w:t>
      </w:r>
      <w:r>
        <w:t xml:space="preserve">.</w:t>
      </w:r>
    </w:p>
    <w:bookmarkEnd w:id="211"/>
    <w:bookmarkEnd w:id="212"/>
    <w:bookmarkEnd w:id="213"/>
    <w:bookmarkEnd w:id="214"/>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3054F1" w:rsidP="003054F1">
    <w:pPr>
      <w:pStyle w:val="af4"/>
      <w:wordWrap w:val="0"/>
      <w:jc w:val="right"/>
      <w:rPr>
        <w:sz w:val="24"/>
        <w:szCs w:val="24"/>
        <w:lang w:eastAsia="zh-CN"/>
      </w:rPr>
    </w:pPr>
    <w:r>
      <w:rPr>
        <w:sz w:val="24"/>
        <w:szCs w:val="24"/>
      </w:rPr>
      <w:t xml:space="preserve">Generated by </w:t>
    </w:r>
    <w:r>
      <w:rPr>
        <w:sz w:val="24"/>
        <w:szCs w:val="24"/>
      </w:rPr>
      <w:t>Kimi.ai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4F1" w:rsidRDefault="003054F1">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96211"/>
    <w:rsid w:val="001C7A67"/>
    <w:rsid w:val="003054F1"/>
    <w:rsid w:val="004825C6"/>
    <w:rsid w:val="0051628A"/>
    <w:rsid w:val="005464E3"/>
    <w:rsid w:val="005F6CBF"/>
    <w:rsid w:val="00643110"/>
    <w:rsid w:val="00746C97"/>
    <w:rsid w:val="008708D9"/>
    <w:rsid w:val="00977478"/>
    <w:rsid w:val="00AF517C"/>
    <w:rsid w:val="00BF08D0"/>
    <w:rsid w:val="00CF7597"/>
    <w:rsid w:val="00D90F1F"/>
    <w:rsid w:val="00EC61BB"/>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Type="http://schemas.openxmlformats.org/officeDocument/2006/relationships/hyperlink" Id="rId23" Target="about:blank" TargetMode="External" /><Relationship Type="http://schemas.openxmlformats.org/officeDocument/2006/relationships/hyperlink" Id="rId78" Target="https://knowledge4policy.ec.europa.eu/health-promotion-knowledge-gateway/dietary-protein-dietary-intake-pregnant-4_en" TargetMode="External" /><Relationship Type="http://schemas.openxmlformats.org/officeDocument/2006/relationships/hyperlink" Id="rId20" Target="https://med.libretexts.org/Courses/Allan_Hancock_College/Introduction_to_Nutrition_Science_(Bisson_et._al)/04%3A_Dietary_Recommendations/4.02%3A_Defining_Nutrient_Requirements-_Dietary_Reference_Intakes" TargetMode="External" /><Relationship Type="http://schemas.openxmlformats.org/officeDocument/2006/relationships/hyperlink" Id="rId52" Target="https://ods.od.nih.gov/HealthInformation/nutrientrecommendations.aspx" TargetMode="External" /><Relationship Type="http://schemas.openxmlformats.org/officeDocument/2006/relationships/hyperlink" Id="rId33" Target="https://pmc.ncbi.nlm.nih.gov/articles/PMC10180846/" TargetMode="External" /><Relationship Type="http://schemas.openxmlformats.org/officeDocument/2006/relationships/hyperlink" Id="rId21" Target="https://pmc.ncbi.nlm.nih.gov/articles/PMC4224210/" TargetMode="External" /><Relationship Type="http://schemas.openxmlformats.org/officeDocument/2006/relationships/hyperlink" Id="rId39" Target="https://www.fda.gov/food/nutrition-facts-label/using-nutrition-facts-label-older-adults" TargetMode="External" /><Relationship Type="http://schemas.openxmlformats.org/officeDocument/2006/relationships/hyperlink" Id="rId48" Target="https://www.heart.org/en/news/2024/12/18/the-changing-nutritional-needs-of-older-adults-and-how-to-meet-them" TargetMode="External" /><Relationship Type="http://schemas.openxmlformats.org/officeDocument/2006/relationships/hyperlink" Id="rId92" Target="https://www.mayoclinic.org/healthy-lifestyle/nutrition-and-healthy-eating/in-depth/mediterranean-diet/art-20047801" TargetMode="External" /><Relationship Type="http://schemas.openxmlformats.org/officeDocument/2006/relationships/hyperlink" Id="rId22" Target="https://www.ncbi.nlm.nih.gov/books/NBK594787/" TargetMode="External" /><Relationship Type="http://schemas.openxmlformats.org/officeDocument/2006/relationships/hyperlink" Id="rId29" Target="https://www.open.edu/openlearncreate/mod/oucontent/view.php?id=316&amp;printable=1" TargetMode="External" /><Relationship Type="http://schemas.openxmlformats.org/officeDocument/2006/relationships/hyperlink" Id="rId93" Target="https://www.verywellhealth.com/mediterranean-diet-health-benefits-8777601" TargetMode="External" /><Relationship Type="http://schemas.openxmlformats.org/officeDocument/2006/relationships/hyperlink" Id="rId26" Target="https://www.who.int/news/item/17-07-2023-who-updates-guidelines-on-fats-and-carbohydrates" TargetMode="External" /></Relationships>
</file>

<file path=word/_rels/footnotes.xml.rels><?xml version="1.0" encoding="UTF-8"?><Relationships xmlns="http://schemas.openxmlformats.org/package/2006/relationships"><Relationship Type="http://schemas.openxmlformats.org/officeDocument/2006/relationships/hyperlink" Id="rId23" Target="about:blank" TargetMode="External" /><Relationship Type="http://schemas.openxmlformats.org/officeDocument/2006/relationships/hyperlink" Id="rId78" Target="https://knowledge4policy.ec.europa.eu/health-promotion-knowledge-gateway/dietary-protein-dietary-intake-pregnant-4_en" TargetMode="External" /><Relationship Type="http://schemas.openxmlformats.org/officeDocument/2006/relationships/hyperlink" Id="rId20" Target="https://med.libretexts.org/Courses/Allan_Hancock_College/Introduction_to_Nutrition_Science_(Bisson_et._al)/04%3A_Dietary_Recommendations/4.02%3A_Defining_Nutrient_Requirements-_Dietary_Reference_Intakes" TargetMode="External" /><Relationship Type="http://schemas.openxmlformats.org/officeDocument/2006/relationships/hyperlink" Id="rId52" Target="https://ods.od.nih.gov/HealthInformation/nutrientrecommendations.aspx" TargetMode="External" /><Relationship Type="http://schemas.openxmlformats.org/officeDocument/2006/relationships/hyperlink" Id="rId33" Target="https://pmc.ncbi.nlm.nih.gov/articles/PMC10180846/" TargetMode="External" /><Relationship Type="http://schemas.openxmlformats.org/officeDocument/2006/relationships/hyperlink" Id="rId21" Target="https://pmc.ncbi.nlm.nih.gov/articles/PMC4224210/" TargetMode="External" /><Relationship Type="http://schemas.openxmlformats.org/officeDocument/2006/relationships/hyperlink" Id="rId39" Target="https://www.fda.gov/food/nutrition-facts-label/using-nutrition-facts-label-older-adults" TargetMode="External" /><Relationship Type="http://schemas.openxmlformats.org/officeDocument/2006/relationships/hyperlink" Id="rId48" Target="https://www.heart.org/en/news/2024/12/18/the-changing-nutritional-needs-of-older-adults-and-how-to-meet-them" TargetMode="External" /><Relationship Type="http://schemas.openxmlformats.org/officeDocument/2006/relationships/hyperlink" Id="rId92" Target="https://www.mayoclinic.org/healthy-lifestyle/nutrition-and-healthy-eating/in-depth/mediterranean-diet/art-20047801" TargetMode="External" /><Relationship Type="http://schemas.openxmlformats.org/officeDocument/2006/relationships/hyperlink" Id="rId22" Target="https://www.ncbi.nlm.nih.gov/books/NBK594787/" TargetMode="External" /><Relationship Type="http://schemas.openxmlformats.org/officeDocument/2006/relationships/hyperlink" Id="rId29" Target="https://www.open.edu/openlearncreate/mod/oucontent/view.php?id=316&amp;printable=1" TargetMode="External" /><Relationship Type="http://schemas.openxmlformats.org/officeDocument/2006/relationships/hyperlink" Id="rId93" Target="https://www.verywellhealth.com/mediterranean-diet-health-benefits-8777601" TargetMode="External" /><Relationship Type="http://schemas.openxmlformats.org/officeDocument/2006/relationships/hyperlink" Id="rId26" Target="https://www.who.int/news/item/17-07-2023-who-updates-guidelines-on-fats-and-carbohyd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2026-04-23T16:23:01Z</dcterms:created>
  <dcterms:modified xsi:type="dcterms:W3CDTF">2026-04-23T16:23:01Z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anonymous-19db7100-f7d2-8f23-8000-090a6276fd3e-20260423162301","ReservedCode1":"","ContentPropagator":"001191110108MACG2KBH8F20000","PropagateID":"anonymous-19db7100-f7d2-8f23-8000-090a6276fd3e-20260423162301","ReservedCode2":""}</vt:lpwstr>
  </property>
</Properties>
</file>